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hint="eastAsia" w:ascii="仿宋_GB2312" w:eastAsia="仿宋_GB2312" w:cs="仿宋_GB2312"/>
          <w:color w:val="000000" w:themeColor="text1"/>
          <w:sz w:val="32"/>
          <w:szCs w:val="32"/>
          <w:lang w:val="zh-CN"/>
        </w:rPr>
      </w:pPr>
    </w:p>
    <w:p>
      <w:pPr>
        <w:adjustRightInd w:val="0"/>
        <w:snapToGrid w:val="0"/>
        <w:spacing w:line="600" w:lineRule="exact"/>
        <w:jc w:val="center"/>
        <w:rPr>
          <w:rFonts w:ascii="仿宋_GB2312" w:eastAsia="仿宋_GB2312" w:cs="仿宋_GB2312"/>
          <w:color w:val="000000" w:themeColor="text1"/>
          <w:sz w:val="32"/>
          <w:szCs w:val="32"/>
          <w:lang w:val="zh-CN"/>
        </w:rPr>
      </w:pPr>
    </w:p>
    <w:p>
      <w:pPr>
        <w:adjustRightInd w:val="0"/>
        <w:snapToGrid w:val="0"/>
        <w:spacing w:line="600" w:lineRule="exact"/>
        <w:jc w:val="center"/>
        <w:rPr>
          <w:rFonts w:ascii="仿宋_GB2312" w:eastAsia="仿宋_GB2312" w:cs="仿宋_GB2312"/>
          <w:color w:val="000000" w:themeColor="text1"/>
          <w:sz w:val="32"/>
          <w:szCs w:val="32"/>
          <w:lang w:val="zh-CN"/>
        </w:rPr>
      </w:pPr>
    </w:p>
    <w:p>
      <w:pPr>
        <w:adjustRightInd w:val="0"/>
        <w:snapToGrid w:val="0"/>
        <w:spacing w:line="600" w:lineRule="exact"/>
        <w:jc w:val="center"/>
        <w:rPr>
          <w:rFonts w:ascii="仿宋_GB2312" w:hAnsi="仿宋" w:eastAsia="仿宋_GB2312"/>
          <w:color w:val="000000" w:themeColor="text1"/>
          <w:sz w:val="32"/>
          <w:szCs w:val="32"/>
        </w:rPr>
      </w:pPr>
      <w:r>
        <w:rPr>
          <w:rFonts w:hint="eastAsia" w:ascii="仿宋_GB2312" w:hAnsi="仿宋" w:eastAsia="仿宋_GB2312" w:cs="仿宋_GB2312"/>
          <w:color w:val="000000" w:themeColor="text1"/>
          <w:sz w:val="32"/>
          <w:szCs w:val="32"/>
          <w:lang w:val="zh-CN"/>
        </w:rPr>
        <w:t>永环评〔2020〕1</w:t>
      </w:r>
      <w:r>
        <w:rPr>
          <w:rFonts w:hint="eastAsia" w:ascii="仿宋_GB2312" w:hAnsi="仿宋" w:eastAsia="仿宋_GB2312" w:cs="仿宋_GB2312"/>
          <w:color w:val="000000" w:themeColor="text1"/>
          <w:sz w:val="32"/>
          <w:szCs w:val="32"/>
          <w:lang w:val="en-US" w:eastAsia="zh-CN"/>
        </w:rPr>
        <w:t>1</w:t>
      </w:r>
      <w:r>
        <w:rPr>
          <w:rFonts w:hint="eastAsia" w:ascii="仿宋_GB2312" w:hAnsi="仿宋" w:eastAsia="仿宋_GB2312" w:cs="仿宋_GB2312"/>
          <w:color w:val="000000" w:themeColor="text1"/>
          <w:sz w:val="32"/>
          <w:szCs w:val="32"/>
          <w:lang w:val="zh-CN"/>
        </w:rPr>
        <w:t>号</w:t>
      </w:r>
    </w:p>
    <w:p>
      <w:pPr>
        <w:adjustRightInd w:val="0"/>
        <w:snapToGrid w:val="0"/>
        <w:spacing w:line="600" w:lineRule="exact"/>
        <w:rPr>
          <w:rFonts w:ascii="黑体" w:eastAsia="黑体"/>
          <w:b/>
          <w:bCs/>
          <w:color w:val="000000" w:themeColor="text1"/>
          <w:sz w:val="36"/>
          <w:szCs w:val="36"/>
        </w:rPr>
      </w:pPr>
      <w:bookmarkStart w:id="0" w:name="_GoBack"/>
      <w:bookmarkEnd w:id="0"/>
    </w:p>
    <w:p>
      <w:pPr>
        <w:spacing w:line="580" w:lineRule="exact"/>
        <w:jc w:val="center"/>
        <w:rPr>
          <w:rFonts w:ascii="宋体" w:hAnsi="宋体" w:cs="宋体"/>
          <w:b/>
          <w:color w:val="000000" w:themeColor="text1"/>
          <w:spacing w:val="-11"/>
          <w:sz w:val="44"/>
          <w:szCs w:val="44"/>
        </w:rPr>
      </w:pPr>
      <w:r>
        <w:rPr>
          <w:rFonts w:hint="eastAsia" w:ascii="宋体" w:hAnsi="宋体" w:cs="黑体"/>
          <w:b/>
          <w:bCs/>
          <w:color w:val="000000" w:themeColor="text1"/>
          <w:spacing w:val="-11"/>
          <w:sz w:val="44"/>
          <w:szCs w:val="44"/>
          <w:lang w:val="zh-CN"/>
        </w:rPr>
        <w:t>关于</w:t>
      </w:r>
      <w:r>
        <w:rPr>
          <w:rFonts w:ascii="宋体" w:hAnsi="宋体" w:cs="宋体"/>
          <w:b/>
          <w:color w:val="000000" w:themeColor="text1"/>
          <w:spacing w:val="-11"/>
          <w:sz w:val="44"/>
          <w:szCs w:val="44"/>
        </w:rPr>
        <w:t>永州市泰鼎新能源科技有限公司生物柴油</w:t>
      </w:r>
    </w:p>
    <w:p>
      <w:pPr>
        <w:spacing w:line="580" w:lineRule="exact"/>
        <w:jc w:val="center"/>
        <w:rPr>
          <w:rFonts w:ascii="宋体" w:hAnsi="宋体" w:cs="宋体"/>
          <w:b/>
          <w:color w:val="000000" w:themeColor="text1"/>
          <w:spacing w:val="-11"/>
          <w:sz w:val="44"/>
          <w:szCs w:val="44"/>
        </w:rPr>
      </w:pPr>
      <w:r>
        <w:rPr>
          <w:rFonts w:ascii="宋体" w:hAnsi="宋体" w:cs="宋体"/>
          <w:b/>
          <w:color w:val="000000" w:themeColor="text1"/>
          <w:spacing w:val="-11"/>
          <w:sz w:val="44"/>
          <w:szCs w:val="44"/>
        </w:rPr>
        <w:t>储存建设项目</w:t>
      </w:r>
      <w:r>
        <w:rPr>
          <w:rFonts w:hint="eastAsia" w:ascii="宋体" w:hAnsi="宋体"/>
          <w:b/>
          <w:color w:val="000000" w:themeColor="text1"/>
          <w:spacing w:val="-11"/>
          <w:sz w:val="44"/>
          <w:szCs w:val="44"/>
        </w:rPr>
        <w:t>环境影响报告表</w:t>
      </w:r>
      <w:r>
        <w:rPr>
          <w:rFonts w:hint="eastAsia" w:ascii="宋体" w:hAnsi="宋体" w:cs="黑体"/>
          <w:b/>
          <w:bCs/>
          <w:color w:val="000000" w:themeColor="text1"/>
          <w:spacing w:val="-11"/>
          <w:sz w:val="44"/>
          <w:szCs w:val="44"/>
          <w:lang w:val="zh-CN"/>
        </w:rPr>
        <w:t>的批复</w:t>
      </w:r>
    </w:p>
    <w:p>
      <w:pPr>
        <w:keepNext w:val="0"/>
        <w:keepLines w:val="0"/>
        <w:pageBreakBefore w:val="0"/>
        <w:widowControl w:val="0"/>
        <w:kinsoku/>
        <w:wordWrap/>
        <w:overflowPunct/>
        <w:topLinePunct w:val="0"/>
        <w:autoSpaceDE/>
        <w:autoSpaceDN/>
        <w:bidi w:val="0"/>
        <w:spacing w:line="600" w:lineRule="exact"/>
        <w:textAlignment w:val="auto"/>
        <w:rPr>
          <w:rFonts w:eastAsia="黑体"/>
          <w:color w:val="000000" w:themeColor="text1"/>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ascii="仿宋_GB2312" w:hAnsi="仿宋" w:eastAsia="仿宋_GB2312" w:cs="宋体"/>
          <w:color w:val="000000" w:themeColor="text1"/>
          <w:sz w:val="32"/>
          <w:szCs w:val="32"/>
        </w:rPr>
      </w:pPr>
      <w:r>
        <w:rPr>
          <w:rFonts w:hint="eastAsia" w:ascii="仿宋_GB2312" w:hAnsi="仿宋" w:eastAsia="仿宋_GB2312" w:cs="宋体"/>
          <w:color w:val="000000" w:themeColor="text1"/>
          <w:sz w:val="32"/>
          <w:szCs w:val="32"/>
        </w:rPr>
        <w:t>永州市泰鼎新能源科技有限公司</w:t>
      </w:r>
      <w:r>
        <w:rPr>
          <w:rFonts w:hint="eastAsia" w:ascii="仿宋_GB2312" w:hAnsi="仿宋" w:eastAsia="仿宋_GB2312" w:cs="仿宋_GB2312"/>
          <w:color w:val="000000" w:themeColor="text1"/>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你公司关于申请生物柴油储存建设项目环评报告批复的函及相关附件收悉，经研究，现批复如下：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bCs/>
          <w:color w:val="000000" w:themeColor="text1"/>
          <w:sz w:val="32"/>
          <w:szCs w:val="32"/>
        </w:rPr>
      </w:pPr>
      <w:r>
        <w:rPr>
          <w:rFonts w:hint="eastAsia" w:ascii="仿宋_GB2312" w:hAnsi="仿宋" w:eastAsia="仿宋_GB2312"/>
          <w:color w:val="000000" w:themeColor="text1"/>
          <w:sz w:val="32"/>
          <w:szCs w:val="32"/>
        </w:rPr>
        <w:t>一、生物柴油储存建设项目位于祁阳县黎家坪镇工人路（原湘祁水泥厂内），总投资</w:t>
      </w:r>
      <w:r>
        <w:rPr>
          <w:rFonts w:ascii="仿宋_GB2312" w:hAnsi="仿宋" w:eastAsia="仿宋_GB2312"/>
          <w:color w:val="000000" w:themeColor="text1"/>
          <w:sz w:val="32"/>
          <w:szCs w:val="32"/>
        </w:rPr>
        <w:t>600</w:t>
      </w:r>
      <w:r>
        <w:rPr>
          <w:rFonts w:hint="eastAsia" w:ascii="仿宋_GB2312" w:hAnsi="仿宋" w:eastAsia="仿宋_GB2312"/>
          <w:color w:val="000000" w:themeColor="text1"/>
          <w:sz w:val="32"/>
          <w:szCs w:val="32"/>
        </w:rPr>
        <w:t>万元（环保投资</w:t>
      </w:r>
      <w:r>
        <w:rPr>
          <w:rFonts w:ascii="仿宋_GB2312" w:hAnsi="仿宋" w:eastAsia="仿宋_GB2312"/>
          <w:color w:val="000000" w:themeColor="text1"/>
          <w:sz w:val="32"/>
          <w:szCs w:val="32"/>
        </w:rPr>
        <w:t>53.5</w:t>
      </w:r>
      <w:r>
        <w:rPr>
          <w:rFonts w:hint="eastAsia" w:ascii="仿宋_GB2312" w:hAnsi="仿宋" w:eastAsia="仿宋_GB2312"/>
          <w:color w:val="000000" w:themeColor="text1"/>
          <w:sz w:val="32"/>
          <w:szCs w:val="32"/>
        </w:rPr>
        <w:t>万元，占总投资的</w:t>
      </w:r>
      <w:r>
        <w:rPr>
          <w:rFonts w:ascii="仿宋_GB2312" w:hAnsi="仿宋" w:eastAsia="仿宋_GB2312"/>
          <w:color w:val="000000" w:themeColor="text1"/>
          <w:sz w:val="32"/>
          <w:szCs w:val="32"/>
        </w:rPr>
        <w:t>8.92</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总占地面积</w:t>
      </w:r>
      <w:r>
        <w:rPr>
          <w:rFonts w:hint="eastAsia" w:ascii="仿宋_GB2312" w:hAnsi="仿宋" w:eastAsia="仿宋_GB2312"/>
          <w:color w:val="000000" w:themeColor="text1"/>
          <w:sz w:val="32"/>
          <w:szCs w:val="32"/>
        </w:rPr>
        <w:t>7557.65</w:t>
      </w:r>
      <w:r>
        <w:rPr>
          <w:rFonts w:ascii="仿宋_GB2312" w:hAnsi="仿宋" w:eastAsia="仿宋_GB2312"/>
          <w:color w:val="000000" w:themeColor="text1"/>
          <w:sz w:val="32"/>
          <w:szCs w:val="32"/>
        </w:rPr>
        <w:t>m</w:t>
      </w:r>
      <w:r>
        <w:rPr>
          <w:rFonts w:ascii="仿宋_GB2312" w:hAnsi="仿宋" w:eastAsia="仿宋_GB2312"/>
          <w:color w:val="000000" w:themeColor="text1"/>
          <w:sz w:val="32"/>
          <w:szCs w:val="32"/>
          <w:vertAlign w:val="superscript"/>
        </w:rPr>
        <w:t>2</w:t>
      </w:r>
      <w:r>
        <w:rPr>
          <w:rFonts w:ascii="仿宋_GB2312" w:hAnsi="仿宋" w:eastAsia="仿宋_GB2312"/>
          <w:color w:val="000000" w:themeColor="text1"/>
          <w:sz w:val="32"/>
          <w:szCs w:val="32"/>
        </w:rPr>
        <w:t>，总建筑面积</w:t>
      </w:r>
      <w:r>
        <w:rPr>
          <w:rFonts w:hint="eastAsia" w:ascii="仿宋_GB2312" w:hAnsi="仿宋" w:eastAsia="仿宋_GB2312"/>
          <w:color w:val="000000" w:themeColor="text1"/>
          <w:sz w:val="32"/>
          <w:szCs w:val="32"/>
        </w:rPr>
        <w:t>2137.68</w:t>
      </w:r>
      <w:r>
        <w:rPr>
          <w:rFonts w:ascii="仿宋_GB2312" w:hAnsi="仿宋" w:eastAsia="仿宋_GB2312"/>
          <w:color w:val="000000" w:themeColor="text1"/>
          <w:sz w:val="32"/>
          <w:szCs w:val="32"/>
        </w:rPr>
        <w:t>m</w:t>
      </w:r>
      <w:r>
        <w:rPr>
          <w:rFonts w:ascii="仿宋_GB2312" w:hAnsi="仿宋" w:eastAsia="仿宋_GB2312"/>
          <w:color w:val="000000" w:themeColor="text1"/>
          <w:sz w:val="32"/>
          <w:szCs w:val="32"/>
          <w:vertAlign w:val="superscript"/>
        </w:rPr>
        <w:t>2</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项目主要建设内容为：</w:t>
      </w:r>
      <w:r>
        <w:rPr>
          <w:rFonts w:hint="eastAsia" w:ascii="仿宋_GB2312" w:hAnsi="仿宋" w:eastAsia="仿宋_GB2312"/>
          <w:color w:val="000000" w:themeColor="text1"/>
          <w:sz w:val="32"/>
          <w:szCs w:val="32"/>
        </w:rPr>
        <w:t>1栋3F综合楼、罩棚、门卫室、磅房等，设5个地上双层钢质储罐，其中</w:t>
      </w:r>
      <w:r>
        <w:rPr>
          <w:rFonts w:ascii="仿宋_GB2312" w:hAnsi="仿宋" w:eastAsia="仿宋_GB2312"/>
          <w:color w:val="000000" w:themeColor="text1"/>
          <w:sz w:val="32"/>
          <w:szCs w:val="32"/>
        </w:rPr>
        <w:t>2个400m</w:t>
      </w:r>
      <w:r>
        <w:rPr>
          <w:rFonts w:ascii="仿宋_GB2312" w:hAnsi="仿宋" w:eastAsia="仿宋_GB2312"/>
          <w:color w:val="000000" w:themeColor="text1"/>
          <w:sz w:val="32"/>
          <w:szCs w:val="32"/>
          <w:vertAlign w:val="superscript"/>
        </w:rPr>
        <w:t>3</w:t>
      </w:r>
      <w:r>
        <w:rPr>
          <w:rFonts w:ascii="仿宋_GB2312" w:hAnsi="仿宋" w:eastAsia="仿宋_GB2312"/>
          <w:color w:val="000000" w:themeColor="text1"/>
          <w:sz w:val="32"/>
          <w:szCs w:val="32"/>
        </w:rPr>
        <w:t>立罐（圆罐）、1个200m</w:t>
      </w:r>
      <w:r>
        <w:rPr>
          <w:rFonts w:ascii="仿宋_GB2312" w:hAnsi="仿宋" w:eastAsia="仿宋_GB2312"/>
          <w:color w:val="000000" w:themeColor="text1"/>
          <w:sz w:val="32"/>
          <w:szCs w:val="32"/>
          <w:vertAlign w:val="superscript"/>
        </w:rPr>
        <w:t>3</w:t>
      </w:r>
      <w:r>
        <w:rPr>
          <w:rFonts w:ascii="仿宋_GB2312" w:hAnsi="仿宋" w:eastAsia="仿宋_GB2312"/>
          <w:color w:val="000000" w:themeColor="text1"/>
          <w:sz w:val="32"/>
          <w:szCs w:val="32"/>
        </w:rPr>
        <w:t>立罐（圆罐）、</w:t>
      </w:r>
      <w:r>
        <w:rPr>
          <w:rFonts w:hint="eastAsia" w:ascii="仿宋_GB2312" w:hAnsi="仿宋" w:eastAsia="仿宋_GB2312"/>
          <w:color w:val="000000" w:themeColor="text1"/>
          <w:sz w:val="32"/>
          <w:szCs w:val="32"/>
        </w:rPr>
        <w:t>2</w:t>
      </w:r>
      <w:r>
        <w:rPr>
          <w:rFonts w:ascii="仿宋_GB2312" w:hAnsi="仿宋" w:eastAsia="仿宋_GB2312"/>
          <w:color w:val="000000" w:themeColor="text1"/>
          <w:sz w:val="32"/>
          <w:szCs w:val="32"/>
        </w:rPr>
        <w:t>个16m</w:t>
      </w:r>
      <w:r>
        <w:rPr>
          <w:rFonts w:ascii="仿宋_GB2312" w:hAnsi="仿宋" w:eastAsia="仿宋_GB2312"/>
          <w:color w:val="000000" w:themeColor="text1"/>
          <w:sz w:val="32"/>
          <w:szCs w:val="32"/>
          <w:vertAlign w:val="superscript"/>
        </w:rPr>
        <w:t>3</w:t>
      </w:r>
      <w:r>
        <w:rPr>
          <w:rFonts w:ascii="仿宋_GB2312" w:hAnsi="仿宋" w:eastAsia="仿宋_GB2312"/>
          <w:color w:val="000000" w:themeColor="text1"/>
          <w:sz w:val="32"/>
          <w:szCs w:val="32"/>
        </w:rPr>
        <w:t>锥罐</w:t>
      </w:r>
      <w:r>
        <w:rPr>
          <w:rFonts w:hint="eastAsia" w:ascii="仿宋_GB2312" w:hAnsi="仿宋" w:eastAsia="仿宋_GB2312"/>
          <w:color w:val="000000" w:themeColor="text1"/>
          <w:sz w:val="32"/>
          <w:szCs w:val="32"/>
        </w:rPr>
        <w:t>，属于五级油库</w:t>
      </w:r>
      <w:r>
        <w:rPr>
          <w:rFonts w:hint="eastAsia" w:ascii="仿宋_GB2312" w:hAnsi="仿宋" w:eastAsia="仿宋_GB2312"/>
          <w:bCs/>
          <w:color w:val="000000" w:themeColor="text1"/>
          <w:sz w:val="32"/>
          <w:szCs w:val="32"/>
        </w:rPr>
        <w:t>。</w:t>
      </w:r>
      <w:r>
        <w:rPr>
          <w:rFonts w:ascii="仿宋_GB2312" w:hAnsi="仿宋" w:eastAsia="仿宋_GB2312"/>
          <w:bCs/>
          <w:color w:val="000000" w:themeColor="text1"/>
          <w:sz w:val="32"/>
          <w:szCs w:val="32"/>
        </w:rPr>
        <w:t>油库储存油品</w:t>
      </w:r>
      <w:r>
        <w:rPr>
          <w:rFonts w:hint="eastAsia" w:ascii="仿宋_GB2312" w:hAnsi="仿宋" w:eastAsia="仿宋_GB2312"/>
          <w:bCs/>
          <w:color w:val="000000" w:themeColor="text1"/>
          <w:sz w:val="32"/>
          <w:szCs w:val="32"/>
        </w:rPr>
        <w:t>为生物柴油</w:t>
      </w:r>
      <w:r>
        <w:rPr>
          <w:rFonts w:ascii="仿宋_GB2312" w:hAnsi="仿宋" w:eastAsia="仿宋_GB2312"/>
          <w:bCs/>
          <w:color w:val="000000" w:themeColor="text1"/>
          <w:sz w:val="32"/>
          <w:szCs w:val="32"/>
        </w:rPr>
        <w:t>，</w:t>
      </w:r>
      <w:r>
        <w:rPr>
          <w:rFonts w:hint="eastAsia" w:ascii="仿宋_GB2312" w:hAnsi="仿宋" w:eastAsia="仿宋_GB2312"/>
          <w:bCs/>
          <w:color w:val="000000" w:themeColor="text1"/>
          <w:sz w:val="32"/>
          <w:szCs w:val="32"/>
        </w:rPr>
        <w:t>最大储存量为</w:t>
      </w:r>
      <w:r>
        <w:rPr>
          <w:rFonts w:ascii="仿宋_GB2312" w:hAnsi="仿宋" w:eastAsia="仿宋_GB2312"/>
          <w:bCs/>
          <w:color w:val="000000" w:themeColor="text1"/>
          <w:sz w:val="32"/>
          <w:szCs w:val="32"/>
        </w:rPr>
        <w:t>1032m</w:t>
      </w:r>
      <w:r>
        <w:rPr>
          <w:rFonts w:ascii="仿宋_GB2312" w:hAnsi="仿宋" w:eastAsia="仿宋_GB2312"/>
          <w:bCs/>
          <w:color w:val="000000" w:themeColor="text1"/>
          <w:sz w:val="32"/>
          <w:szCs w:val="32"/>
          <w:vertAlign w:val="superscript"/>
        </w:rPr>
        <w:t>3</w:t>
      </w:r>
      <w:r>
        <w:rPr>
          <w:rFonts w:hint="eastAsia" w:ascii="仿宋_GB2312" w:hAnsi="仿宋" w:eastAsia="仿宋_GB2312"/>
          <w:bCs/>
          <w:color w:val="000000" w:themeColor="text1"/>
          <w:sz w:val="32"/>
          <w:szCs w:val="32"/>
        </w:rPr>
        <w:t>，最大年周转量为3万吨。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bCs/>
          <w:color w:val="000000" w:themeColor="text1"/>
          <w:kern w:val="32"/>
          <w:sz w:val="32"/>
          <w:szCs w:val="32"/>
        </w:rPr>
      </w:pPr>
      <w:r>
        <w:rPr>
          <w:rFonts w:hint="eastAsia" w:ascii="仿宋_GB2312" w:hAnsi="仿宋" w:eastAsia="仿宋_GB2312"/>
          <w:color w:val="000000" w:themeColor="text1"/>
          <w:kern w:val="32"/>
          <w:sz w:val="32"/>
          <w:szCs w:val="32"/>
        </w:rPr>
        <w:t>根据环评报告分析结论和</w:t>
      </w:r>
      <w:r>
        <w:rPr>
          <w:rFonts w:hint="eastAsia" w:ascii="仿宋_GB2312" w:hAnsi="仿宋" w:eastAsia="仿宋_GB2312"/>
          <w:bCs/>
          <w:color w:val="000000" w:themeColor="text1"/>
          <w:sz w:val="32"/>
          <w:szCs w:val="32"/>
        </w:rPr>
        <w:t>永州市生态环境局祁阳分局预审意见</w:t>
      </w:r>
      <w:r>
        <w:rPr>
          <w:rFonts w:hint="eastAsia" w:ascii="仿宋_GB2312" w:hAnsi="仿宋" w:eastAsia="仿宋_GB2312"/>
          <w:color w:val="000000" w:themeColor="text1"/>
          <w:kern w:val="32"/>
          <w:sz w:val="32"/>
          <w:szCs w:val="32"/>
        </w:rPr>
        <w:t>，</w:t>
      </w:r>
      <w:r>
        <w:rPr>
          <w:rFonts w:hint="eastAsia" w:ascii="仿宋_GB2312" w:hAnsi="仿宋_GB2312" w:eastAsia="仿宋_GB2312" w:cs="仿宋_GB2312"/>
          <w:color w:val="000000" w:themeColor="text1"/>
          <w:sz w:val="32"/>
          <w:szCs w:val="32"/>
        </w:rPr>
        <w:t>在建设单位全面落实报告表和本批复提出的各项环境保护措施后，工程建设对环境的不利影响能够得到缓解和控制。我局原则同意该项目环境影响报告表中的环境影响评价结论和环境保护措施</w:t>
      </w:r>
      <w:r>
        <w:rPr>
          <w:rFonts w:hint="eastAsia" w:ascii="仿宋_GB2312" w:hAnsi="仿宋" w:eastAsia="仿宋_GB2312"/>
          <w:color w:val="000000" w:themeColor="text1"/>
          <w:kern w:val="32"/>
          <w:sz w:val="32"/>
          <w:szCs w:val="32"/>
        </w:rPr>
        <w:t>。本批复及有关附件是该项目环保审批的法律文件。自批复之日起超过5年方开工建设，或项</w:t>
      </w:r>
      <w:r>
        <w:rPr>
          <w:rFonts w:hint="eastAsia" w:ascii="仿宋_GB2312" w:hAnsi="仿宋_GB2312" w:eastAsia="仿宋_GB2312" w:cs="仿宋_GB2312"/>
          <w:color w:val="000000" w:themeColor="text1"/>
          <w:sz w:val="32"/>
          <w:szCs w:val="32"/>
        </w:rPr>
        <w:t>目的性质、规模、地点、工艺、防治污染措施发生重大变动的</w:t>
      </w:r>
      <w:r>
        <w:rPr>
          <w:rFonts w:hint="eastAsia" w:ascii="仿宋_GB2312" w:hAnsi="仿宋" w:eastAsia="仿宋_GB2312"/>
          <w:color w:val="000000" w:themeColor="text1"/>
          <w:kern w:val="32"/>
          <w:sz w:val="32"/>
          <w:szCs w:val="32"/>
        </w:rPr>
        <w:t>，必须依法重新报批。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bCs/>
          <w:color w:val="000000" w:themeColor="text1"/>
          <w:sz w:val="32"/>
          <w:szCs w:val="32"/>
        </w:rPr>
      </w:pPr>
      <w:r>
        <w:rPr>
          <w:rFonts w:hint="eastAsia" w:ascii="仿宋_GB2312" w:eastAsia="仿宋_GB2312"/>
          <w:color w:val="000000" w:themeColor="text1"/>
          <w:sz w:val="32"/>
          <w:szCs w:val="32"/>
        </w:rPr>
        <w:t>二、</w:t>
      </w:r>
      <w:r>
        <w:rPr>
          <w:rFonts w:hint="eastAsia" w:ascii="仿宋_GB2312" w:hAnsi="仿宋_GB2312" w:eastAsia="仿宋_GB2312" w:cs="仿宋_GB2312"/>
          <w:color w:val="000000" w:themeColor="text1"/>
          <w:sz w:val="32"/>
          <w:szCs w:val="32"/>
        </w:rPr>
        <w:t>你公司在项目建设和营运期间，必须严格落实环境影响报告表中提出的污染防治和生态保护的措施，并重点做好以下工作：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（一）相关政策要求。</w:t>
      </w:r>
      <w:r>
        <w:rPr>
          <w:rFonts w:hint="eastAsia" w:ascii="仿宋_GB2312" w:eastAsia="仿宋_GB2312"/>
          <w:bCs/>
          <w:color w:val="000000" w:themeColor="text1"/>
          <w:sz w:val="32"/>
          <w:szCs w:val="32"/>
        </w:rPr>
        <w:t>严格按照国家相关法律法规要求开展本项目的建设和施工活动，工程在开工建设前应获得相关主管部门对本工程的审批意见。</w:t>
      </w:r>
      <w:r>
        <w:rPr>
          <w:rFonts w:hint="eastAsia" w:ascii="仿宋_GB2312" w:hAnsi="仿宋" w:eastAsia="仿宋_GB2312"/>
          <w:color w:val="000000" w:themeColor="text1"/>
          <w:sz w:val="32"/>
          <w:szCs w:val="32"/>
        </w:rPr>
        <w:t>所选用生产设备及环保设施需符合国家质量安全要求。项目建设及布局需符合《石油库设计规范》（GB50074-2014)和《建筑设计防火规范》（GB50016-2006）规定，以及规划、安全要求。强化对</w:t>
      </w:r>
      <w:r>
        <w:rPr>
          <w:rFonts w:hint="eastAsia" w:ascii="仿宋_GB2312" w:hAnsi="仿宋" w:eastAsia="仿宋_GB2312"/>
          <w:bCs/>
          <w:color w:val="000000" w:themeColor="text1"/>
          <w:sz w:val="32"/>
          <w:szCs w:val="32"/>
        </w:rPr>
        <w:t>生物柴油</w:t>
      </w:r>
      <w:r>
        <w:rPr>
          <w:rFonts w:hint="eastAsia" w:ascii="仿宋_GB2312" w:hAnsi="仿宋" w:eastAsia="仿宋_GB2312"/>
          <w:color w:val="000000" w:themeColor="text1"/>
          <w:sz w:val="32"/>
          <w:szCs w:val="32"/>
        </w:rPr>
        <w:t>运输、储存、灌装全过程安全管理，并建设足够容量的事故应急池，油库与周边环境敏感点的安全距离达到应急管理部门规定的标准，避免因安全问题引发次生环境问题，确保环境安全。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bCs/>
          <w:color w:val="000000" w:themeColor="text1"/>
          <w:sz w:val="32"/>
          <w:szCs w:val="32"/>
        </w:rPr>
      </w:pPr>
      <w:r>
        <w:rPr>
          <w:rFonts w:hint="eastAsia" w:ascii="仿宋_GB2312" w:hAnsi="仿宋" w:eastAsia="仿宋_GB2312"/>
          <w:color w:val="000000" w:themeColor="text1"/>
          <w:sz w:val="32"/>
          <w:szCs w:val="32"/>
        </w:rPr>
        <w:t>（二）废水污染防治。按照“雨污分流、清污分流”原则，规范落实污水防治设施。生活污水经自行处理后，满足《污水综合排放标准》（GB8978-1996）中一级标准，回用于厂区绿化、清洁。场地冲洗及喷淋水，经水封井、隔油池处理，收集沉淀后回用。</w:t>
      </w:r>
      <w:r>
        <w:rPr>
          <w:rFonts w:hint="eastAsia" w:ascii="仿宋_GB2312" w:hAnsi="仿宋" w:eastAsia="仿宋_GB2312"/>
          <w:bCs/>
          <w:color w:val="000000" w:themeColor="text1"/>
          <w:sz w:val="32"/>
          <w:szCs w:val="32"/>
        </w:rPr>
        <w:t>储罐区、装卸区应采取严格的防渗措施，确保不对地下水体造成污染。储罐区设置自动监测报警系统，事故情况下液态污染物和消防废水全部进入事故应急池贮存、处理。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（三）废气污染防治。加强管理及设备维护保养，配备</w:t>
      </w:r>
      <w:r>
        <w:rPr>
          <w:rFonts w:ascii="仿宋_GB2312" w:hAnsi="仿宋" w:eastAsia="仿宋_GB2312"/>
          <w:color w:val="000000" w:themeColor="text1"/>
          <w:sz w:val="32"/>
          <w:szCs w:val="32"/>
        </w:rPr>
        <w:t>油气回收装置、密闭卸油装置</w:t>
      </w:r>
      <w:r>
        <w:rPr>
          <w:rFonts w:hint="eastAsia" w:ascii="仿宋_GB2312" w:hAnsi="仿宋" w:eastAsia="仿宋_GB2312"/>
          <w:color w:val="000000" w:themeColor="text1"/>
          <w:sz w:val="32"/>
          <w:szCs w:val="32"/>
        </w:rPr>
        <w:t>，避免</w:t>
      </w:r>
      <w:r>
        <w:rPr>
          <w:rFonts w:hint="eastAsia" w:ascii="仿宋_GB2312" w:hAnsi="仿宋" w:eastAsia="仿宋_GB2312"/>
          <w:bCs/>
          <w:color w:val="000000" w:themeColor="text1"/>
          <w:sz w:val="32"/>
          <w:szCs w:val="32"/>
        </w:rPr>
        <w:t>生物柴油</w:t>
      </w:r>
      <w:r>
        <w:rPr>
          <w:rFonts w:hint="eastAsia" w:ascii="仿宋_GB2312" w:hAnsi="仿宋" w:eastAsia="仿宋_GB2312"/>
          <w:color w:val="000000" w:themeColor="text1"/>
          <w:sz w:val="32"/>
          <w:szCs w:val="32"/>
        </w:rPr>
        <w:t>装卸、灌装时发生跑、冒、漏现象。强化对无组织排放废气的污染防治，无组织排放废气应满足《大气污染物综合排放标准》（GB16297-1996）无组织排放监控浓度限值要求。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（四）噪声污染防治。优化设备选型，合理布置高噪声设备并采取隔声、消声、减振措施，确保厂界噪声达到《工业企业厂界环境噪声排放标准》（GB12348-2008）标准。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（五）固体废物处置。生活垃圾委托环卫部门集中处置。按报告要求对运营期产生的固废分类收集处理，属危险废物的按国家危废管理的相关要求做好场内规范暂存管理，送有资质的单位综合回收处置。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（六）生态环境保护。科学规划，合理布局，注重绿化，维护区域生态环境质量。强化生态保护和水土保持措施，防止水土流失和生态破坏。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olor w:val="000000" w:themeColor="text1"/>
          <w:sz w:val="32"/>
          <w:szCs w:val="32"/>
        </w:rPr>
      </w:pPr>
      <w:r>
        <w:rPr>
          <w:rFonts w:hint="eastAsia" w:ascii="仿宋_GB2312" w:hAnsi="仿宋" w:eastAsia="仿宋_GB2312"/>
          <w:color w:val="000000" w:themeColor="text1"/>
          <w:sz w:val="32"/>
          <w:szCs w:val="32"/>
        </w:rPr>
        <w:t>（七）环境风险防范。加强环境风险管理及项目安全生产检查，制定环境风险应急预案及防范措施，提高事故风险防范和污染控制能力，对事故隐患做到及早发现，及时处理，确保区域环境安全。科学布设报警预警设施、事故应急设施（物料泄漏截流设施、风险事故池、消防水池等）。建立严格的操作制度，并通过岗前培训、应急演练等方式不断提高职工素质和处理突发事件的能力，加强定期演练。</w:t>
      </w:r>
      <w:r>
        <w:rPr>
          <w:rFonts w:hint="eastAsia" w:ascii="仿宋_GB2312" w:eastAsia="仿宋_GB2312"/>
          <w:color w:val="000000" w:themeColor="text1"/>
          <w:sz w:val="32"/>
          <w:szCs w:val="32"/>
        </w:rPr>
        <w:t>设专职环保管理人员做好污防设施的维护管理，确保设备长期稳定运行。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（八）维护社会稳定。</w:t>
      </w:r>
      <w:r>
        <w:rPr>
          <w:rFonts w:hint="eastAsia" w:ascii="仿宋_GB2312" w:hAnsi="仿宋_GB2312" w:eastAsia="仿宋_GB2312" w:cs="仿宋_GB2312"/>
          <w:color w:val="000000" w:themeColor="text1"/>
          <w:sz w:val="32"/>
          <w:szCs w:val="32"/>
        </w:rPr>
        <w:t>加强对项目附近环境敏感点的环境保护，处理好与周边的关系，采取有效的环保及安全措施，防止周边群众因环保诉求而引发矛盾，自觉维护社会稳定。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w:t>
      </w:r>
      <w:r>
        <w:rPr>
          <w:rFonts w:hint="eastAsia" w:ascii="仿宋_GB2312" w:hAnsi="仿宋" w:eastAsia="仿宋_GB2312"/>
          <w:bCs/>
          <w:color w:val="000000" w:themeColor="text1"/>
          <w:sz w:val="32"/>
          <w:szCs w:val="32"/>
        </w:rPr>
        <w:t>项目建成</w:t>
      </w:r>
      <w:r>
        <w:rPr>
          <w:rFonts w:hint="eastAsia" w:ascii="仿宋_GB2312" w:hAnsi="仿宋_GB2312" w:eastAsia="仿宋_GB2312" w:cs="仿宋_GB2312"/>
          <w:color w:val="000000" w:themeColor="text1"/>
          <w:sz w:val="32"/>
          <w:szCs w:val="32"/>
        </w:rPr>
        <w:t>后</w:t>
      </w:r>
      <w:r>
        <w:rPr>
          <w:rFonts w:hint="eastAsia" w:ascii="仿宋_GB2312" w:hAnsi="仿宋" w:eastAsia="仿宋_GB2312"/>
          <w:bCs/>
          <w:color w:val="000000" w:themeColor="text1"/>
          <w:sz w:val="32"/>
          <w:szCs w:val="32"/>
        </w:rPr>
        <w:t>，应按建设项目环境保护“三同时”规定，自主开展环境保护竣工验收</w:t>
      </w:r>
      <w:r>
        <w:rPr>
          <w:rFonts w:hint="eastAsia" w:ascii="仿宋_GB2312" w:hAnsi="仿宋" w:eastAsia="仿宋_GB2312"/>
          <w:color w:val="000000" w:themeColor="text1"/>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bCs/>
          <w:color w:val="000000" w:themeColor="text1"/>
          <w:sz w:val="32"/>
          <w:szCs w:val="32"/>
        </w:rPr>
      </w:pPr>
      <w:r>
        <w:rPr>
          <w:rFonts w:hint="eastAsia" w:ascii="仿宋_GB2312" w:hAnsi="仿宋" w:eastAsia="仿宋_GB2312"/>
          <w:color w:val="000000" w:themeColor="text1"/>
          <w:sz w:val="32"/>
          <w:szCs w:val="32"/>
        </w:rPr>
        <w:t>五、</w:t>
      </w:r>
      <w:r>
        <w:rPr>
          <w:rFonts w:hint="eastAsia" w:ascii="仿宋_GB2312" w:hAnsi="仿宋" w:eastAsia="仿宋_GB2312"/>
          <w:bCs/>
          <w:color w:val="000000" w:themeColor="text1"/>
          <w:sz w:val="32"/>
          <w:szCs w:val="32"/>
        </w:rPr>
        <w:t>建设单位应在收到本批复后15个工作日内，将批复批准后的本项目环评报告表送永州市生态环境局祁阳分局。拟建项目环保“三同时”执行情况的监督检查和日常环境管理工作由永州市生态环境局祁阳分局具体负责。</w:t>
      </w:r>
    </w:p>
    <w:p>
      <w:pPr>
        <w:keepNext w:val="0"/>
        <w:keepLines w:val="0"/>
        <w:pageBreakBefore w:val="0"/>
        <w:widowControl w:val="0"/>
        <w:kinsoku/>
        <w:wordWrap/>
        <w:overflowPunct/>
        <w:topLinePunct w:val="0"/>
        <w:autoSpaceDE/>
        <w:autoSpaceDN/>
        <w:bidi w:val="0"/>
        <w:spacing w:line="600" w:lineRule="exact"/>
        <w:textAlignment w:val="auto"/>
        <w:rPr>
          <w:rFonts w:ascii="仿宋_GB2312" w:hAnsi="仿宋" w:eastAsia="仿宋_GB2312"/>
          <w:bCs/>
          <w:color w:val="000000" w:themeColor="text1"/>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4419" w:firstLineChars="1381"/>
        <w:jc w:val="center"/>
        <w:textAlignment w:val="auto"/>
        <w:outlineLvl w:val="0"/>
        <w:rPr>
          <w:rFonts w:ascii="仿宋_GB2312" w:hAnsi="仿宋" w:eastAsia="仿宋_GB2312" w:cs="仿宋_GB2312"/>
          <w:color w:val="000000" w:themeColor="text1"/>
          <w:sz w:val="32"/>
          <w:szCs w:val="32"/>
          <w:lang w:val="zh-CN"/>
        </w:rPr>
      </w:pPr>
      <w:r>
        <w:rPr>
          <w:rFonts w:hint="eastAsia" w:ascii="仿宋_GB2312" w:hAnsi="仿宋" w:eastAsia="仿宋_GB2312" w:cs="仿宋_GB2312"/>
          <w:color w:val="000000" w:themeColor="text1"/>
          <w:sz w:val="32"/>
          <w:szCs w:val="32"/>
          <w:lang w:val="zh-CN"/>
        </w:rPr>
        <w:t>永州市生态环境局</w:t>
      </w:r>
    </w:p>
    <w:p>
      <w:pPr>
        <w:keepNext w:val="0"/>
        <w:keepLines w:val="0"/>
        <w:pageBreakBefore w:val="0"/>
        <w:widowControl w:val="0"/>
        <w:kinsoku/>
        <w:wordWrap/>
        <w:overflowPunct/>
        <w:topLinePunct w:val="0"/>
        <w:autoSpaceDE/>
        <w:autoSpaceDN/>
        <w:bidi w:val="0"/>
        <w:adjustRightInd w:val="0"/>
        <w:snapToGrid w:val="0"/>
        <w:spacing w:line="600" w:lineRule="exact"/>
        <w:ind w:firstLine="4419" w:firstLineChars="1381"/>
        <w:jc w:val="center"/>
        <w:textAlignment w:val="auto"/>
        <w:rPr>
          <w:rFonts w:ascii="仿宋_GB2312" w:hAnsi="仿宋" w:eastAsia="仿宋_GB2312" w:cs="仿宋_GB2312"/>
          <w:color w:val="000000" w:themeColor="text1"/>
          <w:sz w:val="32"/>
          <w:szCs w:val="32"/>
          <w:lang w:val="zh-CN"/>
        </w:rPr>
      </w:pPr>
      <w:r>
        <w:rPr>
          <w:rFonts w:hint="eastAsia" w:ascii="仿宋_GB2312" w:hAnsi="仿宋" w:eastAsia="仿宋_GB2312" w:cs="仿宋_GB2312"/>
          <w:color w:val="000000" w:themeColor="text1"/>
          <w:sz w:val="32"/>
          <w:szCs w:val="32"/>
          <w:lang w:val="zh-CN"/>
        </w:rPr>
        <w:t>2020年5月18日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 w:eastAsia="仿宋_GB2312" w:cs="仿宋_GB2312"/>
          <w:color w:val="000000" w:themeColor="text1"/>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320" w:firstLineChars="100"/>
        <w:textAlignment w:val="auto"/>
        <w:rPr>
          <w:rFonts w:ascii="仿宋_GB2312" w:hAnsi="仿宋" w:eastAsia="仿宋_GB2312"/>
          <w:color w:val="000000" w:themeColor="text1"/>
          <w:sz w:val="32"/>
          <w:szCs w:val="32"/>
        </w:rPr>
      </w:pPr>
      <w:r>
        <w:rPr>
          <w:rFonts w:hint="eastAsia" w:ascii="仿宋_GB2312" w:hAnsi="仿宋" w:eastAsia="仿宋_GB2312" w:cs="仿宋_GB2312"/>
          <w:color w:val="000000" w:themeColor="text1"/>
          <w:sz w:val="32"/>
          <w:szCs w:val="32"/>
          <w:lang w:val="zh-CN"/>
        </w:rPr>
        <w:t>抄送：</w:t>
      </w:r>
      <w:r>
        <w:rPr>
          <w:rFonts w:hint="eastAsia" w:ascii="仿宋_GB2312" w:hAnsi="仿宋" w:eastAsia="仿宋_GB2312"/>
          <w:bCs/>
          <w:color w:val="000000" w:themeColor="text1"/>
          <w:sz w:val="32"/>
          <w:szCs w:val="32"/>
        </w:rPr>
        <w:t>永州市生态环境局</w:t>
      </w:r>
      <w:r>
        <w:rPr>
          <w:rFonts w:hint="eastAsia" w:ascii="仿宋_GB2312" w:hAnsi="仿宋" w:eastAsia="仿宋_GB2312"/>
          <w:color w:val="000000" w:themeColor="text1"/>
          <w:sz w:val="32"/>
          <w:szCs w:val="32"/>
        </w:rPr>
        <w:t>祁阳分</w:t>
      </w:r>
      <w:r>
        <w:rPr>
          <w:rFonts w:hint="eastAsia" w:ascii="仿宋_GB2312" w:hAnsi="仿宋" w:eastAsia="仿宋_GB2312" w:cs="仿宋_GB2312"/>
          <w:color w:val="000000" w:themeColor="text1"/>
          <w:sz w:val="32"/>
          <w:szCs w:val="32"/>
          <w:lang w:val="zh-CN"/>
        </w:rPr>
        <w:t>局，湖南绿鸿环境科技有限责任公司</w:t>
      </w:r>
      <w:r>
        <w:rPr>
          <w:rFonts w:hint="eastAsia" w:ascii="仿宋_GB2312" w:hAnsi="仿宋" w:eastAsia="仿宋_GB2312"/>
          <w:color w:val="000000" w:themeColor="text1"/>
          <w:sz w:val="32"/>
          <w:szCs w:val="32"/>
        </w:rPr>
        <w:t>。</w:t>
      </w:r>
    </w:p>
    <w:sectPr>
      <w:headerReference r:id="rId3" w:type="default"/>
      <w:footerReference r:id="rId4" w:type="default"/>
      <w:footerReference r:id="rId5" w:type="even"/>
      <w:pgSz w:w="11906" w:h="16838"/>
      <w:pgMar w:top="1701" w:right="1644" w:bottom="1474"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56B"/>
    <w:rsid w:val="00012C2B"/>
    <w:rsid w:val="0003105B"/>
    <w:rsid w:val="00037C99"/>
    <w:rsid w:val="00042EB9"/>
    <w:rsid w:val="00052851"/>
    <w:rsid w:val="00055464"/>
    <w:rsid w:val="000718C0"/>
    <w:rsid w:val="000802C7"/>
    <w:rsid w:val="000827D4"/>
    <w:rsid w:val="000943B9"/>
    <w:rsid w:val="000A390D"/>
    <w:rsid w:val="000B40A9"/>
    <w:rsid w:val="000D1BC8"/>
    <w:rsid w:val="000E122A"/>
    <w:rsid w:val="000E3C64"/>
    <w:rsid w:val="000F4221"/>
    <w:rsid w:val="000F6959"/>
    <w:rsid w:val="00172A27"/>
    <w:rsid w:val="00175168"/>
    <w:rsid w:val="0018480B"/>
    <w:rsid w:val="00197CA4"/>
    <w:rsid w:val="001B374F"/>
    <w:rsid w:val="001B7933"/>
    <w:rsid w:val="001D5E13"/>
    <w:rsid w:val="001E2DA9"/>
    <w:rsid w:val="001F1806"/>
    <w:rsid w:val="002033F0"/>
    <w:rsid w:val="00204983"/>
    <w:rsid w:val="00214E39"/>
    <w:rsid w:val="00230078"/>
    <w:rsid w:val="00270514"/>
    <w:rsid w:val="0028137D"/>
    <w:rsid w:val="00292264"/>
    <w:rsid w:val="002A011F"/>
    <w:rsid w:val="002B5F22"/>
    <w:rsid w:val="002F6F0D"/>
    <w:rsid w:val="003063CA"/>
    <w:rsid w:val="00314AE2"/>
    <w:rsid w:val="003441B5"/>
    <w:rsid w:val="003469DA"/>
    <w:rsid w:val="00375EFC"/>
    <w:rsid w:val="00384EA4"/>
    <w:rsid w:val="003B7C18"/>
    <w:rsid w:val="003E4299"/>
    <w:rsid w:val="003E4DA2"/>
    <w:rsid w:val="003E7756"/>
    <w:rsid w:val="004012A6"/>
    <w:rsid w:val="00410E78"/>
    <w:rsid w:val="00434032"/>
    <w:rsid w:val="00435DFF"/>
    <w:rsid w:val="004418BC"/>
    <w:rsid w:val="00446D02"/>
    <w:rsid w:val="004708BC"/>
    <w:rsid w:val="004743B3"/>
    <w:rsid w:val="00485359"/>
    <w:rsid w:val="004863AA"/>
    <w:rsid w:val="004A553C"/>
    <w:rsid w:val="004C3615"/>
    <w:rsid w:val="004D746D"/>
    <w:rsid w:val="004E181B"/>
    <w:rsid w:val="004F1D80"/>
    <w:rsid w:val="00542AA9"/>
    <w:rsid w:val="00577B3C"/>
    <w:rsid w:val="005807B4"/>
    <w:rsid w:val="005969A4"/>
    <w:rsid w:val="005A7EE0"/>
    <w:rsid w:val="005B1F3A"/>
    <w:rsid w:val="005E2368"/>
    <w:rsid w:val="006137B5"/>
    <w:rsid w:val="00625C08"/>
    <w:rsid w:val="00631B76"/>
    <w:rsid w:val="00642CBC"/>
    <w:rsid w:val="006501F6"/>
    <w:rsid w:val="006764BF"/>
    <w:rsid w:val="006904C2"/>
    <w:rsid w:val="00690567"/>
    <w:rsid w:val="006B290A"/>
    <w:rsid w:val="006B7CE2"/>
    <w:rsid w:val="006C68FA"/>
    <w:rsid w:val="006D5CF6"/>
    <w:rsid w:val="006F5155"/>
    <w:rsid w:val="00702DBD"/>
    <w:rsid w:val="00720552"/>
    <w:rsid w:val="00722910"/>
    <w:rsid w:val="007235E3"/>
    <w:rsid w:val="0077128E"/>
    <w:rsid w:val="00771321"/>
    <w:rsid w:val="007732AD"/>
    <w:rsid w:val="00794460"/>
    <w:rsid w:val="007955D1"/>
    <w:rsid w:val="007972B4"/>
    <w:rsid w:val="007B683E"/>
    <w:rsid w:val="007D3E17"/>
    <w:rsid w:val="00806902"/>
    <w:rsid w:val="008377B7"/>
    <w:rsid w:val="00844C59"/>
    <w:rsid w:val="00854AA0"/>
    <w:rsid w:val="00874F83"/>
    <w:rsid w:val="008750A1"/>
    <w:rsid w:val="0088445A"/>
    <w:rsid w:val="00887C8D"/>
    <w:rsid w:val="008B0518"/>
    <w:rsid w:val="008C3B2E"/>
    <w:rsid w:val="008D1853"/>
    <w:rsid w:val="008E49BC"/>
    <w:rsid w:val="008F492A"/>
    <w:rsid w:val="00931B99"/>
    <w:rsid w:val="00936B0A"/>
    <w:rsid w:val="00963966"/>
    <w:rsid w:val="00973110"/>
    <w:rsid w:val="009925B4"/>
    <w:rsid w:val="00994934"/>
    <w:rsid w:val="00995864"/>
    <w:rsid w:val="009A195F"/>
    <w:rsid w:val="009D527C"/>
    <w:rsid w:val="009E71BF"/>
    <w:rsid w:val="009F07D8"/>
    <w:rsid w:val="00A121A3"/>
    <w:rsid w:val="00A31F8A"/>
    <w:rsid w:val="00A33911"/>
    <w:rsid w:val="00A36492"/>
    <w:rsid w:val="00A4184D"/>
    <w:rsid w:val="00A42287"/>
    <w:rsid w:val="00A650F1"/>
    <w:rsid w:val="00A866D6"/>
    <w:rsid w:val="00AD04D2"/>
    <w:rsid w:val="00AE7EF9"/>
    <w:rsid w:val="00AF0BD3"/>
    <w:rsid w:val="00B1759C"/>
    <w:rsid w:val="00B20F20"/>
    <w:rsid w:val="00B41F16"/>
    <w:rsid w:val="00B6366C"/>
    <w:rsid w:val="00B65249"/>
    <w:rsid w:val="00B865D1"/>
    <w:rsid w:val="00B92554"/>
    <w:rsid w:val="00B95924"/>
    <w:rsid w:val="00BA7515"/>
    <w:rsid w:val="00BA777D"/>
    <w:rsid w:val="00BB3D98"/>
    <w:rsid w:val="00BB568C"/>
    <w:rsid w:val="00BC6383"/>
    <w:rsid w:val="00BD6E52"/>
    <w:rsid w:val="00BE12BC"/>
    <w:rsid w:val="00BF750B"/>
    <w:rsid w:val="00C236DE"/>
    <w:rsid w:val="00C75EBB"/>
    <w:rsid w:val="00C75EE6"/>
    <w:rsid w:val="00C858E9"/>
    <w:rsid w:val="00C86FC4"/>
    <w:rsid w:val="00C954D7"/>
    <w:rsid w:val="00CB42B0"/>
    <w:rsid w:val="00CB7C87"/>
    <w:rsid w:val="00CE5D29"/>
    <w:rsid w:val="00CF311D"/>
    <w:rsid w:val="00CF56EE"/>
    <w:rsid w:val="00CF7D76"/>
    <w:rsid w:val="00D00917"/>
    <w:rsid w:val="00D00C63"/>
    <w:rsid w:val="00D07782"/>
    <w:rsid w:val="00D10828"/>
    <w:rsid w:val="00D26AD4"/>
    <w:rsid w:val="00D41EB9"/>
    <w:rsid w:val="00DB4E8F"/>
    <w:rsid w:val="00DD4754"/>
    <w:rsid w:val="00DE21A2"/>
    <w:rsid w:val="00DF3568"/>
    <w:rsid w:val="00E03E22"/>
    <w:rsid w:val="00E073A5"/>
    <w:rsid w:val="00E40D43"/>
    <w:rsid w:val="00E44771"/>
    <w:rsid w:val="00E57362"/>
    <w:rsid w:val="00E85E1A"/>
    <w:rsid w:val="00EB064C"/>
    <w:rsid w:val="00ED6ECE"/>
    <w:rsid w:val="00ED77EB"/>
    <w:rsid w:val="00EE3A4A"/>
    <w:rsid w:val="00EF01E3"/>
    <w:rsid w:val="00EF0526"/>
    <w:rsid w:val="00F15339"/>
    <w:rsid w:val="00F23BF2"/>
    <w:rsid w:val="00F41F4E"/>
    <w:rsid w:val="00F469AC"/>
    <w:rsid w:val="00F47430"/>
    <w:rsid w:val="00F64741"/>
    <w:rsid w:val="00F778B8"/>
    <w:rsid w:val="00FA4984"/>
    <w:rsid w:val="00FB28DB"/>
    <w:rsid w:val="00FC4A8D"/>
    <w:rsid w:val="00FE4D83"/>
    <w:rsid w:val="00FF485D"/>
    <w:rsid w:val="04A97AA2"/>
    <w:rsid w:val="0E0647C1"/>
    <w:rsid w:val="11B36A74"/>
    <w:rsid w:val="13330EF8"/>
    <w:rsid w:val="14954B8D"/>
    <w:rsid w:val="1E98626E"/>
    <w:rsid w:val="1FC5345D"/>
    <w:rsid w:val="24066B84"/>
    <w:rsid w:val="2A2C6A7F"/>
    <w:rsid w:val="2A8D6045"/>
    <w:rsid w:val="2AC81B88"/>
    <w:rsid w:val="2CDD1E3C"/>
    <w:rsid w:val="330B4844"/>
    <w:rsid w:val="454066A1"/>
    <w:rsid w:val="46595453"/>
    <w:rsid w:val="512F1E22"/>
    <w:rsid w:val="58131D44"/>
    <w:rsid w:val="6B6C4F86"/>
    <w:rsid w:val="70221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link w:val="11"/>
    <w:qFormat/>
    <w:uiPriority w:val="0"/>
    <w:pPr>
      <w:ind w:firstLine="600"/>
    </w:pPr>
    <w:rPr>
      <w:rFonts w:ascii="宋体"/>
      <w:sz w:val="30"/>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Char Char"/>
    <w:basedOn w:val="8"/>
    <w:qFormat/>
    <w:uiPriority w:val="0"/>
    <w:rPr>
      <w:rFonts w:ascii="宋体" w:eastAsia="宋体"/>
      <w:kern w:val="2"/>
      <w:sz w:val="30"/>
      <w:lang w:val="en-US" w:eastAsia="zh-CN" w:bidi="ar-SA"/>
    </w:rPr>
  </w:style>
  <w:style w:type="character" w:customStyle="1" w:styleId="11">
    <w:name w:val="正文文本缩进 Char"/>
    <w:basedOn w:val="8"/>
    <w:link w:val="3"/>
    <w:qFormat/>
    <w:uiPriority w:val="0"/>
    <w:rPr>
      <w:rFonts w:ascii="宋体" w:eastAsia="宋体"/>
      <w:kern w:val="2"/>
      <w:sz w:val="30"/>
      <w:lang w:val="en-US" w:eastAsia="zh-CN" w:bidi="ar-SA"/>
    </w:rPr>
  </w:style>
  <w:style w:type="paragraph" w:customStyle="1" w:styleId="12">
    <w:name w:val="1 Char"/>
    <w:basedOn w:val="1"/>
    <w:qFormat/>
    <w:uiPriority w:val="0"/>
    <w:rPr>
      <w:sz w:val="24"/>
    </w:rPr>
  </w:style>
  <w:style w:type="paragraph" w:customStyle="1" w:styleId="13">
    <w:name w:val="永环书正文"/>
    <w:basedOn w:val="1"/>
    <w:qFormat/>
    <w:uiPriority w:val="0"/>
    <w:pPr>
      <w:spacing w:beforeLines="20" w:afterLines="20" w:line="360" w:lineRule="auto"/>
      <w:ind w:firstLine="200" w:firstLineChars="200"/>
    </w:pPr>
    <w:rPr>
      <w:sz w:val="24"/>
    </w:rPr>
  </w:style>
  <w:style w:type="paragraph" w:customStyle="1" w:styleId="14">
    <w:name w:val="正文小四"/>
    <w:qFormat/>
    <w:uiPriority w:val="0"/>
    <w:pPr>
      <w:ind w:firstLine="150" w:firstLineChars="150"/>
    </w:pPr>
    <w:rPr>
      <w:rFonts w:ascii="宋体" w:hAnsi="Times New Roman" w:eastAsia="宋体" w:cs="Times New Roman"/>
      <w:kern w:val="2"/>
      <w:sz w:val="24"/>
      <w:szCs w:val="24"/>
      <w:lang w:val="en-US" w:eastAsia="zh-CN" w:bidi="ar-SA"/>
    </w:rPr>
  </w:style>
  <w:style w:type="paragraph" w:customStyle="1" w:styleId="15">
    <w:name w:val="Char1"/>
    <w:basedOn w:val="1"/>
    <w:qFormat/>
    <w:uiPriority w:val="0"/>
    <w:pPr>
      <w:spacing w:line="360" w:lineRule="auto"/>
      <w:ind w:firstLine="200" w:firstLineChars="200"/>
    </w:pPr>
    <w:rPr>
      <w:rFonts w:ascii="宋体" w:cs="宋体"/>
      <w:sz w:val="24"/>
    </w:rPr>
  </w:style>
  <w:style w:type="paragraph" w:customStyle="1" w:styleId="16">
    <w:name w:val="Char Char Char"/>
    <w:basedOn w:val="2"/>
    <w:qFormat/>
    <w:uiPriority w:val="0"/>
    <w:pPr>
      <w:adjustRightInd w:val="0"/>
      <w:spacing w:line="436" w:lineRule="exact"/>
      <w:ind w:left="357"/>
      <w:jc w:val="left"/>
      <w:outlineLvl w:val="3"/>
    </w:pPr>
    <w:rPr>
      <w:rFonts w:ascii="Tahoma" w:hAnsi="Tahoma"/>
      <w:b/>
      <w:sz w:val="44"/>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291</Words>
  <Characters>1664</Characters>
  <Lines>13</Lines>
  <Paragraphs>3</Paragraphs>
  <TotalTime>107</TotalTime>
  <ScaleCrop>false</ScaleCrop>
  <LinksUpToDate>false</LinksUpToDate>
  <CharactersWithSpaces>1952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2018-05-14T02:10:00Z</dcterms:created>
  <dc:creator>微软用户</dc:creator>
  <cp:lastModifiedBy>Administrator</cp:lastModifiedBy>
  <cp:lastPrinted>2019-11-14T07:04:00Z</cp:lastPrinted>
  <dcterms:modified xsi:type="dcterms:W3CDTF">2020-05-18T08:58:55Z</dcterms:modified>
  <dc:title>永环评[2012] 号</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