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djustRightInd w:val="0"/>
        <w:snapToGrid w:val="0"/>
        <w:spacing w:line="600" w:lineRule="exact"/>
        <w:jc w:val="center"/>
        <w:rPr>
          <w:rFonts w:ascii="仿宋_GB2312" w:eastAsia="仿宋_GB2312" w:cs="仿宋_GB2312"/>
          <w:color w:val="000000" w:themeColor="text1"/>
          <w:sz w:val="32"/>
          <w:szCs w:val="32"/>
          <w:lang w:val="zh-CN"/>
        </w:rPr>
      </w:pPr>
    </w:p>
    <w:p>
      <w:pPr>
        <w:adjustRightInd w:val="0"/>
        <w:snapToGrid w:val="0"/>
        <w:spacing w:line="600" w:lineRule="exact"/>
        <w:jc w:val="center"/>
        <w:rPr>
          <w:rFonts w:ascii="仿宋_GB2312" w:eastAsia="仿宋_GB2312" w:cs="仿宋_GB2312"/>
          <w:color w:val="000000" w:themeColor="text1"/>
          <w:sz w:val="32"/>
          <w:szCs w:val="32"/>
          <w:lang w:val="zh-CN"/>
        </w:rPr>
      </w:pPr>
    </w:p>
    <w:p>
      <w:pPr>
        <w:adjustRightInd w:val="0"/>
        <w:snapToGrid w:val="0"/>
        <w:spacing w:line="600" w:lineRule="exact"/>
        <w:jc w:val="center"/>
        <w:rPr>
          <w:rFonts w:ascii="仿宋_GB2312" w:eastAsia="仿宋_GB2312" w:cs="仿宋_GB2312"/>
          <w:color w:val="000000" w:themeColor="text1"/>
          <w:sz w:val="32"/>
          <w:szCs w:val="32"/>
          <w:lang w:val="zh-CN"/>
        </w:rPr>
      </w:pPr>
    </w:p>
    <w:p>
      <w:pPr>
        <w:adjustRightInd w:val="0"/>
        <w:snapToGrid w:val="0"/>
        <w:spacing w:line="600" w:lineRule="exact"/>
        <w:jc w:val="center"/>
        <w:rPr>
          <w:rFonts w:ascii="仿宋_GB2312" w:hAnsi="仿宋" w:eastAsia="仿宋_GB2312"/>
          <w:color w:val="000000" w:themeColor="text1"/>
          <w:sz w:val="32"/>
          <w:szCs w:val="32"/>
        </w:rPr>
      </w:pPr>
      <w:r>
        <w:rPr>
          <w:rFonts w:hint="eastAsia" w:ascii="仿宋_GB2312" w:hAnsi="仿宋" w:eastAsia="仿宋_GB2312" w:cs="仿宋_GB2312"/>
          <w:color w:val="000000" w:themeColor="text1"/>
          <w:sz w:val="32"/>
          <w:szCs w:val="32"/>
          <w:lang w:val="zh-CN"/>
        </w:rPr>
        <w:t>永环评〔2020〕14号</w:t>
      </w:r>
    </w:p>
    <w:p>
      <w:pPr>
        <w:adjustRightInd w:val="0"/>
        <w:snapToGrid w:val="0"/>
        <w:spacing w:line="600" w:lineRule="exact"/>
        <w:rPr>
          <w:rFonts w:ascii="黑体" w:eastAsia="黑体"/>
          <w:b/>
          <w:bCs/>
          <w:color w:val="000000" w:themeColor="text1"/>
          <w:sz w:val="36"/>
          <w:szCs w:val="36"/>
        </w:rPr>
      </w:pPr>
    </w:p>
    <w:p>
      <w:pPr>
        <w:spacing w:line="580" w:lineRule="exact"/>
        <w:jc w:val="center"/>
        <w:rPr>
          <w:rFonts w:ascii="宋体" w:hAnsi="宋体" w:cs="宋体"/>
          <w:b/>
          <w:color w:val="000000" w:themeColor="text1"/>
          <w:spacing w:val="-11"/>
          <w:sz w:val="44"/>
          <w:szCs w:val="44"/>
        </w:rPr>
      </w:pPr>
      <w:r>
        <w:rPr>
          <w:rFonts w:hint="eastAsia" w:ascii="宋体" w:hAnsi="宋体" w:cs="黑体"/>
          <w:b/>
          <w:bCs/>
          <w:color w:val="000000" w:themeColor="text1"/>
          <w:spacing w:val="-11"/>
          <w:sz w:val="44"/>
          <w:szCs w:val="44"/>
          <w:lang w:val="zh-CN"/>
        </w:rPr>
        <w:t>关于</w:t>
      </w:r>
      <w:r>
        <w:rPr>
          <w:rFonts w:hint="eastAsia" w:ascii="宋体" w:hAnsi="宋体" w:cs="宋体"/>
          <w:b/>
          <w:color w:val="000000" w:themeColor="text1"/>
          <w:spacing w:val="-11"/>
          <w:sz w:val="44"/>
          <w:szCs w:val="44"/>
        </w:rPr>
        <w:t>永州华晨再生能源有限公司</w:t>
      </w:r>
    </w:p>
    <w:p>
      <w:pPr>
        <w:spacing w:line="580" w:lineRule="exact"/>
        <w:jc w:val="center"/>
        <w:rPr>
          <w:rFonts w:ascii="宋体" w:hAnsi="宋体" w:cs="宋体"/>
          <w:b/>
          <w:color w:val="000000" w:themeColor="text1"/>
          <w:spacing w:val="-11"/>
          <w:sz w:val="44"/>
          <w:szCs w:val="44"/>
        </w:rPr>
      </w:pPr>
      <w:r>
        <w:rPr>
          <w:rFonts w:hint="eastAsia" w:ascii="宋体" w:hAnsi="宋体" w:cs="宋体"/>
          <w:b/>
          <w:color w:val="000000" w:themeColor="text1"/>
          <w:spacing w:val="-11"/>
          <w:sz w:val="44"/>
          <w:szCs w:val="44"/>
        </w:rPr>
        <w:t>危险废物收集、贮存、转运搬迁改扩建项目</w:t>
      </w:r>
    </w:p>
    <w:p>
      <w:pPr>
        <w:spacing w:line="580" w:lineRule="exact"/>
        <w:jc w:val="center"/>
        <w:rPr>
          <w:rFonts w:ascii="宋体" w:hAnsi="宋体" w:cs="宋体"/>
          <w:b/>
          <w:color w:val="000000" w:themeColor="text1"/>
          <w:spacing w:val="-11"/>
          <w:sz w:val="44"/>
          <w:szCs w:val="44"/>
        </w:rPr>
      </w:pPr>
      <w:r>
        <w:rPr>
          <w:rFonts w:hint="eastAsia" w:ascii="宋体" w:hAnsi="宋体"/>
          <w:b/>
          <w:color w:val="000000" w:themeColor="text1"/>
          <w:spacing w:val="-11"/>
          <w:sz w:val="44"/>
          <w:szCs w:val="44"/>
        </w:rPr>
        <w:t>环境影响报告表</w:t>
      </w:r>
      <w:r>
        <w:rPr>
          <w:rFonts w:hint="eastAsia" w:ascii="宋体" w:hAnsi="宋体" w:cs="黑体"/>
          <w:b/>
          <w:bCs/>
          <w:color w:val="000000" w:themeColor="text1"/>
          <w:spacing w:val="-11"/>
          <w:sz w:val="44"/>
          <w:szCs w:val="44"/>
          <w:lang w:val="zh-CN"/>
        </w:rPr>
        <w:t>的批复</w:t>
      </w:r>
    </w:p>
    <w:p>
      <w:pPr>
        <w:spacing w:line="600" w:lineRule="exact"/>
        <w:rPr>
          <w:rFonts w:eastAsia="黑体"/>
          <w:color w:val="000000" w:themeColor="text1"/>
          <w:sz w:val="32"/>
          <w:szCs w:val="32"/>
          <w14:textFill>
            <w14:solidFill>
              <w14:schemeClr w14:val="tx1"/>
            </w14:solidFill>
          </w14:textFill>
        </w:rPr>
      </w:pPr>
    </w:p>
    <w:p>
      <w:pPr>
        <w:spacing w:line="580" w:lineRule="exact"/>
        <w:rPr>
          <w:rFonts w:ascii="仿宋_GB2312" w:hAnsi="仿宋" w:eastAsia="仿宋_GB2312" w:cs="宋体"/>
          <w:color w:val="000000" w:themeColor="text1"/>
          <w:sz w:val="32"/>
          <w:szCs w:val="32"/>
          <w14:textFill>
            <w14:solidFill>
              <w14:schemeClr w14:val="tx1"/>
            </w14:solidFill>
          </w14:textFill>
        </w:rPr>
      </w:pPr>
      <w:r>
        <w:rPr>
          <w:rFonts w:ascii="仿宋_GB2312" w:hAnsi="仿宋" w:eastAsia="仿宋_GB2312" w:cs="宋体"/>
          <w:color w:val="000000" w:themeColor="text1"/>
          <w:sz w:val="32"/>
          <w:szCs w:val="32"/>
          <w14:textFill>
            <w14:solidFill>
              <w14:schemeClr w14:val="tx1"/>
            </w14:solidFill>
          </w14:textFill>
        </w:rPr>
        <w:t>永州华晨再生能源有限公司</w:t>
      </w:r>
      <w:r>
        <w:rPr>
          <w:rFonts w:hint="eastAsia" w:ascii="仿宋_GB2312" w:hAnsi="仿宋" w:eastAsia="仿宋_GB2312" w:cs="仿宋_GB2312"/>
          <w:color w:val="000000" w:themeColor="text1"/>
          <w:sz w:val="32"/>
          <w:szCs w:val="32"/>
          <w14:textFill>
            <w14:solidFill>
              <w14:schemeClr w14:val="tx1"/>
            </w14:solidFill>
          </w14:textFill>
        </w:rPr>
        <w:t>：</w:t>
      </w:r>
    </w:p>
    <w:p>
      <w:pPr>
        <w:spacing w:line="580" w:lineRule="exact"/>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你公司关于申请</w:t>
      </w:r>
      <w:r>
        <w:rPr>
          <w:rFonts w:ascii="仿宋_GB2312" w:hAnsi="仿宋" w:eastAsia="仿宋_GB2312"/>
          <w:color w:val="000000" w:themeColor="text1"/>
          <w:sz w:val="32"/>
          <w:szCs w:val="32"/>
          <w14:textFill>
            <w14:solidFill>
              <w14:schemeClr w14:val="tx1"/>
            </w14:solidFill>
          </w14:textFill>
        </w:rPr>
        <w:t>危险废物收集、贮存、转运搬迁改扩建项目</w:t>
      </w:r>
      <w:r>
        <w:rPr>
          <w:rFonts w:hint="eastAsia" w:ascii="仿宋_GB2312" w:hAnsi="仿宋" w:eastAsia="仿宋_GB2312"/>
          <w:color w:val="000000" w:themeColor="text1"/>
          <w:sz w:val="32"/>
          <w:szCs w:val="32"/>
          <w14:textFill>
            <w14:solidFill>
              <w14:schemeClr w14:val="tx1"/>
            </w14:solidFill>
          </w14:textFill>
        </w:rPr>
        <w:t>环评报告批复的函及相关附件收悉，经研究，现批复如下：</w:t>
      </w:r>
    </w:p>
    <w:p>
      <w:pPr>
        <w:pStyle w:val="13"/>
        <w:spacing w:beforeLines="0" w:afterLines="0" w:line="580" w:lineRule="exact"/>
        <w:ind w:firstLine="640"/>
        <w:rPr>
          <w:rFonts w:ascii="仿宋_GB2312"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一、永州华晨再生能源有限公司年收集、转运1200t废矿物油项目位于</w:t>
      </w:r>
      <w:r>
        <w:rPr>
          <w:rFonts w:ascii="仿宋_GB2312" w:hAnsi="仿宋" w:eastAsia="仿宋_GB2312"/>
          <w:color w:val="000000" w:themeColor="text1"/>
          <w:sz w:val="32"/>
          <w:szCs w:val="32"/>
          <w14:textFill>
            <w14:solidFill>
              <w14:schemeClr w14:val="tx1"/>
            </w14:solidFill>
          </w14:textFill>
        </w:rPr>
        <w:t>冷水滩区上岭桥镇赤塘村</w:t>
      </w:r>
      <w:r>
        <w:rPr>
          <w:rFonts w:hint="eastAsia" w:ascii="仿宋_GB2312" w:hAnsi="仿宋" w:eastAsia="仿宋_GB2312"/>
          <w:color w:val="000000" w:themeColor="text1"/>
          <w:sz w:val="32"/>
          <w:szCs w:val="32"/>
          <w14:textFill>
            <w14:solidFill>
              <w14:schemeClr w14:val="tx1"/>
            </w14:solidFill>
          </w14:textFill>
        </w:rPr>
        <w:t>，主要从事</w:t>
      </w:r>
      <w:r>
        <w:rPr>
          <w:rFonts w:hint="eastAsia" w:ascii="仿宋_GB2312" w:eastAsia="仿宋_GB2312"/>
          <w:color w:val="000000" w:themeColor="text1"/>
          <w:sz w:val="32"/>
          <w:szCs w:val="32"/>
          <w14:textFill>
            <w14:solidFill>
              <w14:schemeClr w14:val="tx1"/>
            </w14:solidFill>
          </w14:textFill>
        </w:rPr>
        <w:t>HW08</w:t>
      </w:r>
      <w:r>
        <w:rPr>
          <w:rFonts w:ascii="仿宋_GB2312" w:eastAsia="仿宋_GB2312"/>
          <w:color w:val="000000" w:themeColor="text1"/>
          <w:sz w:val="32"/>
          <w:szCs w:val="32"/>
          <w14:textFill>
            <w14:solidFill>
              <w14:schemeClr w14:val="tx1"/>
            </w14:solidFill>
          </w14:textFill>
        </w:rPr>
        <w:t>废矿物油收集、</w:t>
      </w:r>
      <w:r>
        <w:rPr>
          <w:rFonts w:hint="eastAsia" w:ascii="仿宋_GB2312" w:eastAsia="仿宋_GB2312"/>
          <w:color w:val="000000" w:themeColor="text1"/>
          <w:sz w:val="32"/>
          <w:szCs w:val="32"/>
          <w14:textFill>
            <w14:solidFill>
              <w14:schemeClr w14:val="tx1"/>
            </w14:solidFill>
          </w14:textFill>
        </w:rPr>
        <w:t>转运</w:t>
      </w:r>
      <w:r>
        <w:rPr>
          <w:rFonts w:hint="eastAsia" w:ascii="仿宋_GB2312" w:hAnsi="仿宋" w:eastAsia="仿宋_GB2312"/>
          <w:color w:val="000000" w:themeColor="text1"/>
          <w:sz w:val="32"/>
          <w:szCs w:val="32"/>
          <w14:textFill>
            <w14:solidFill>
              <w14:schemeClr w14:val="tx1"/>
            </w14:solidFill>
          </w14:textFill>
        </w:rPr>
        <w:t>，</w:t>
      </w:r>
      <w:r>
        <w:rPr>
          <w:rFonts w:ascii="仿宋_GB2312" w:hAnsi="仿宋" w:eastAsia="仿宋_GB2312"/>
          <w:color w:val="000000" w:themeColor="text1"/>
          <w:sz w:val="32"/>
          <w:szCs w:val="32"/>
          <w14:textFill>
            <w14:solidFill>
              <w14:schemeClr w14:val="tx1"/>
            </w14:solidFill>
          </w14:textFill>
        </w:rPr>
        <w:t>因政策调整</w:t>
      </w:r>
      <w:r>
        <w:rPr>
          <w:rFonts w:hint="eastAsia" w:ascii="仿宋_GB2312" w:hAnsi="仿宋" w:eastAsia="仿宋_GB2312"/>
          <w:color w:val="000000" w:themeColor="text1"/>
          <w:sz w:val="32"/>
          <w:szCs w:val="32"/>
          <w14:textFill>
            <w14:solidFill>
              <w14:schemeClr w14:val="tx1"/>
            </w14:solidFill>
          </w14:textFill>
        </w:rPr>
        <w:t>，</w:t>
      </w:r>
      <w:r>
        <w:rPr>
          <w:rFonts w:ascii="仿宋_GB2312" w:hAnsi="仿宋" w:eastAsia="仿宋_GB2312"/>
          <w:color w:val="000000" w:themeColor="text1"/>
          <w:sz w:val="32"/>
          <w:szCs w:val="32"/>
          <w14:textFill>
            <w14:solidFill>
              <w14:schemeClr w14:val="tx1"/>
            </w14:solidFill>
          </w14:textFill>
        </w:rPr>
        <w:t>拟实施搬迁</w:t>
      </w:r>
      <w:r>
        <w:rPr>
          <w:rFonts w:hint="eastAsia" w:ascii="仿宋_GB2312" w:hAnsi="仿宋" w:eastAsia="仿宋_GB2312"/>
          <w:color w:val="000000" w:themeColor="text1"/>
          <w:sz w:val="32"/>
          <w:szCs w:val="32"/>
          <w14:textFill>
            <w14:solidFill>
              <w14:schemeClr w14:val="tx1"/>
            </w14:solidFill>
          </w14:textFill>
        </w:rPr>
        <w:t>。搬迁改扩建</w:t>
      </w:r>
      <w:r>
        <w:rPr>
          <w:rFonts w:ascii="仿宋_GB2312" w:hAnsi="仿宋" w:eastAsia="仿宋_GB2312"/>
          <w:color w:val="000000" w:themeColor="text1"/>
          <w:sz w:val="32"/>
          <w:szCs w:val="32"/>
          <w14:textFill>
            <w14:solidFill>
              <w14:schemeClr w14:val="tx1"/>
            </w14:solidFill>
          </w14:textFill>
        </w:rPr>
        <w:t>项目</w:t>
      </w:r>
      <w:r>
        <w:rPr>
          <w:rFonts w:hint="eastAsia" w:ascii="仿宋_GB2312" w:hAnsi="仿宋" w:eastAsia="仿宋_GB2312"/>
          <w:color w:val="000000" w:themeColor="text1"/>
          <w:sz w:val="32"/>
          <w:szCs w:val="32"/>
          <w14:textFill>
            <w14:solidFill>
              <w14:schemeClr w14:val="tx1"/>
            </w14:solidFill>
          </w14:textFill>
        </w:rPr>
        <w:t>位于冷水滩区高科园谷源路与春江路交汇处，为租赁厂房，</w:t>
      </w:r>
      <w:r>
        <w:rPr>
          <w:rFonts w:hint="eastAsia" w:ascii="仿宋_GB2312" w:eastAsia="仿宋_GB2312"/>
          <w:color w:val="000000" w:themeColor="text1"/>
          <w:sz w:val="32"/>
          <w:szCs w:val="32"/>
          <w14:textFill>
            <w14:solidFill>
              <w14:schemeClr w14:val="tx1"/>
            </w14:solidFill>
          </w14:textFill>
        </w:rPr>
        <w:t>总投资500万元（环保投资</w:t>
      </w:r>
      <w:r>
        <w:rPr>
          <w:rFonts w:ascii="仿宋_GB2312" w:eastAsia="仿宋_GB2312"/>
          <w:color w:val="000000" w:themeColor="text1"/>
          <w:sz w:val="32"/>
          <w:szCs w:val="32"/>
          <w14:textFill>
            <w14:solidFill>
              <w14:schemeClr w14:val="tx1"/>
            </w14:solidFill>
          </w14:textFill>
        </w:rPr>
        <w:t>21.7</w:t>
      </w:r>
      <w:r>
        <w:rPr>
          <w:rFonts w:hint="eastAsia" w:ascii="仿宋_GB2312" w:eastAsia="仿宋_GB2312"/>
          <w:color w:val="000000" w:themeColor="text1"/>
          <w:sz w:val="32"/>
          <w:szCs w:val="32"/>
          <w14:textFill>
            <w14:solidFill>
              <w14:schemeClr w14:val="tx1"/>
            </w14:solidFill>
          </w14:textFill>
        </w:rPr>
        <w:t>万元，占总投资的</w:t>
      </w:r>
      <w:r>
        <w:rPr>
          <w:rFonts w:ascii="仿宋_GB2312" w:eastAsia="仿宋_GB2312"/>
          <w:color w:val="000000" w:themeColor="text1"/>
          <w:sz w:val="32"/>
          <w:szCs w:val="32"/>
          <w14:textFill>
            <w14:solidFill>
              <w14:schemeClr w14:val="tx1"/>
            </w14:solidFill>
          </w14:textFill>
        </w:rPr>
        <w:t>4.34</w:t>
      </w:r>
      <w:r>
        <w:rPr>
          <w:rFonts w:hint="eastAsia" w:ascii="仿宋_GB2312" w:eastAsia="仿宋_GB2312"/>
          <w:color w:val="000000" w:themeColor="text1"/>
          <w:sz w:val="32"/>
          <w:szCs w:val="32"/>
          <w14:textFill>
            <w14:solidFill>
              <w14:schemeClr w14:val="tx1"/>
            </w14:solidFill>
          </w14:textFill>
        </w:rPr>
        <w:t>%），</w:t>
      </w:r>
      <w:r>
        <w:rPr>
          <w:rFonts w:ascii="仿宋_GB2312" w:hAnsi="仿宋" w:eastAsia="仿宋_GB2312"/>
          <w:color w:val="000000" w:themeColor="text1"/>
          <w:sz w:val="32"/>
          <w:szCs w:val="32"/>
          <w14:textFill>
            <w14:solidFill>
              <w14:schemeClr w14:val="tx1"/>
            </w14:solidFill>
          </w14:textFill>
        </w:rPr>
        <w:t>用地面积3000m</w:t>
      </w:r>
      <w:r>
        <w:rPr>
          <w:rFonts w:ascii="仿宋_GB2312" w:hAnsi="仿宋" w:eastAsia="仿宋_GB2312"/>
          <w:color w:val="000000" w:themeColor="text1"/>
          <w:sz w:val="32"/>
          <w:szCs w:val="32"/>
          <w:vertAlign w:val="superscript"/>
          <w14:textFill>
            <w14:solidFill>
              <w14:schemeClr w14:val="tx1"/>
            </w14:solidFill>
          </w14:textFill>
        </w:rPr>
        <w:t>2</w:t>
      </w:r>
      <w:r>
        <w:rPr>
          <w:rFonts w:hint="eastAsia" w:ascii="仿宋_GB2312" w:hAnsi="仿宋" w:eastAsia="仿宋_GB2312"/>
          <w:color w:val="000000" w:themeColor="text1"/>
          <w:sz w:val="32"/>
          <w:szCs w:val="32"/>
          <w14:textFill>
            <w14:solidFill>
              <w14:schemeClr w14:val="tx1"/>
            </w14:solidFill>
          </w14:textFill>
        </w:rPr>
        <w:t>，</w:t>
      </w:r>
      <w:r>
        <w:rPr>
          <w:rFonts w:ascii="仿宋_GB2312" w:hAnsi="仿宋" w:eastAsia="仿宋_GB2312"/>
          <w:color w:val="000000" w:themeColor="text1"/>
          <w:sz w:val="32"/>
          <w:szCs w:val="32"/>
          <w14:textFill>
            <w14:solidFill>
              <w14:schemeClr w14:val="tx1"/>
            </w14:solidFill>
          </w14:textFill>
        </w:rPr>
        <w:t>建设</w:t>
      </w:r>
      <w:r>
        <w:rPr>
          <w:rFonts w:hint="eastAsia" w:ascii="仿宋_GB2312" w:eastAsia="仿宋_GB2312"/>
          <w:color w:val="000000" w:themeColor="text1"/>
          <w:sz w:val="32"/>
          <w:szCs w:val="32"/>
          <w14:textFill>
            <w14:solidFill>
              <w14:schemeClr w14:val="tx1"/>
            </w14:solidFill>
          </w14:textFill>
        </w:rPr>
        <w:t>内容</w:t>
      </w:r>
      <w:r>
        <w:rPr>
          <w:rFonts w:ascii="仿宋_GB2312" w:eastAsia="仿宋_GB2312"/>
          <w:color w:val="000000" w:themeColor="text1"/>
          <w:sz w:val="32"/>
          <w:szCs w:val="32"/>
          <w14:textFill>
            <w14:solidFill>
              <w14:schemeClr w14:val="tx1"/>
            </w14:solidFill>
          </w14:textFill>
        </w:rPr>
        <w:t>包括：废矿物油存储区、办公区等</w:t>
      </w:r>
      <w:r>
        <w:rPr>
          <w:rFonts w:hint="eastAsia" w:ascii="仿宋_GB2312" w:eastAsia="仿宋_GB2312"/>
          <w:color w:val="000000" w:themeColor="text1"/>
          <w:sz w:val="32"/>
          <w:szCs w:val="32"/>
          <w14:textFill>
            <w14:solidFill>
              <w14:schemeClr w14:val="tx1"/>
            </w14:solidFill>
          </w14:textFill>
        </w:rPr>
        <w:t>，计划年</w:t>
      </w:r>
      <w:r>
        <w:rPr>
          <w:rFonts w:ascii="仿宋_GB2312" w:eastAsia="仿宋_GB2312"/>
          <w:color w:val="000000" w:themeColor="text1"/>
          <w:sz w:val="32"/>
          <w:szCs w:val="32"/>
          <w14:textFill>
            <w14:solidFill>
              <w14:schemeClr w14:val="tx1"/>
            </w14:solidFill>
          </w14:textFill>
        </w:rPr>
        <w:t>周转HW08废矿物油与含矿物油废物（900-214-08）3000t</w:t>
      </w:r>
      <w:r>
        <w:rPr>
          <w:rFonts w:hint="eastAsia" w:ascii="仿宋_GB2312" w:eastAsia="仿宋_GB2312"/>
          <w:color w:val="000000" w:themeColor="text1"/>
          <w:sz w:val="32"/>
          <w:szCs w:val="32"/>
          <w14:textFill>
            <w14:solidFill>
              <w14:schemeClr w14:val="tx1"/>
            </w14:solidFill>
          </w14:textFill>
        </w:rPr>
        <w:t>。</w:t>
      </w:r>
    </w:p>
    <w:p>
      <w:pPr>
        <w:spacing w:line="580" w:lineRule="exact"/>
        <w:ind w:firstLine="640" w:firstLineChars="200"/>
        <w:rPr>
          <w:rFonts w:ascii="仿宋_GB2312" w:hAnsi="仿宋" w:eastAsia="仿宋_GB2312"/>
          <w:bCs/>
          <w:color w:val="000000" w:themeColor="text1"/>
          <w:kern w:val="32"/>
          <w:sz w:val="32"/>
          <w:szCs w:val="32"/>
          <w14:textFill>
            <w14:solidFill>
              <w14:schemeClr w14:val="tx1"/>
            </w14:solidFill>
          </w14:textFill>
        </w:rPr>
      </w:pPr>
      <w:r>
        <w:rPr>
          <w:rFonts w:hint="eastAsia" w:ascii="仿宋_GB2312" w:hAnsi="仿宋" w:eastAsia="仿宋_GB2312"/>
          <w:color w:val="000000" w:themeColor="text1"/>
          <w:kern w:val="32"/>
          <w:sz w:val="32"/>
          <w:szCs w:val="32"/>
          <w14:textFill>
            <w14:solidFill>
              <w14:schemeClr w14:val="tx1"/>
            </w14:solidFill>
          </w14:textFill>
        </w:rPr>
        <w:t>根据环评报告分析结论和</w:t>
      </w:r>
      <w:r>
        <w:rPr>
          <w:rFonts w:hint="eastAsia" w:ascii="仿宋_GB2312" w:hAnsi="仿宋" w:eastAsia="仿宋_GB2312"/>
          <w:bCs/>
          <w:color w:val="000000" w:themeColor="text1"/>
          <w:sz w:val="32"/>
          <w:szCs w:val="32"/>
          <w14:textFill>
            <w14:solidFill>
              <w14:schemeClr w14:val="tx1"/>
            </w14:solidFill>
          </w14:textFill>
        </w:rPr>
        <w:t>永州市生态环境局冷水滩分局预审意见</w:t>
      </w:r>
      <w:r>
        <w:rPr>
          <w:rFonts w:hint="eastAsia" w:ascii="仿宋_GB2312" w:hAnsi="仿宋" w:eastAsia="仿宋_GB2312"/>
          <w:color w:val="000000" w:themeColor="text1"/>
          <w:kern w:val="32"/>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在建设单位全面落实报告表和本批复提出的各项环境保护措施后，工程建设对环境的不利影响能够得到缓解和控制。我局原则同意该项目环境影响报告表中的环境影响评价结论和环境保护措施</w:t>
      </w:r>
      <w:r>
        <w:rPr>
          <w:rFonts w:hint="eastAsia" w:ascii="仿宋_GB2312" w:hAnsi="仿宋" w:eastAsia="仿宋_GB2312"/>
          <w:color w:val="000000" w:themeColor="text1"/>
          <w:kern w:val="32"/>
          <w:sz w:val="32"/>
          <w:szCs w:val="32"/>
          <w14:textFill>
            <w14:solidFill>
              <w14:schemeClr w14:val="tx1"/>
            </w14:solidFill>
          </w14:textFill>
        </w:rPr>
        <w:t>。本批复及有关附件是该项目环保审批的法律文件。自批复之日起超过5年方开工建设，或项</w:t>
      </w:r>
      <w:r>
        <w:rPr>
          <w:rFonts w:hint="eastAsia" w:ascii="仿宋_GB2312" w:hAnsi="仿宋_GB2312" w:eastAsia="仿宋_GB2312" w:cs="仿宋_GB2312"/>
          <w:color w:val="000000" w:themeColor="text1"/>
          <w:sz w:val="32"/>
          <w:szCs w:val="32"/>
          <w14:textFill>
            <w14:solidFill>
              <w14:schemeClr w14:val="tx1"/>
            </w14:solidFill>
          </w14:textFill>
        </w:rPr>
        <w:t>目的性质、规模、地点、工艺、防治污染措施发生重大变动的</w:t>
      </w:r>
      <w:r>
        <w:rPr>
          <w:rFonts w:hint="eastAsia" w:ascii="仿宋_GB2312" w:hAnsi="仿宋" w:eastAsia="仿宋_GB2312"/>
          <w:color w:val="000000" w:themeColor="text1"/>
          <w:kern w:val="32"/>
          <w:sz w:val="32"/>
          <w:szCs w:val="32"/>
          <w14:textFill>
            <w14:solidFill>
              <w14:schemeClr w14:val="tx1"/>
            </w14:solidFill>
          </w14:textFill>
        </w:rPr>
        <w:t>，必须依法重新报批。</w:t>
      </w:r>
    </w:p>
    <w:p>
      <w:pPr>
        <w:spacing w:line="580" w:lineRule="exact"/>
        <w:ind w:firstLine="640" w:firstLineChars="200"/>
        <w:rPr>
          <w:rFonts w:ascii="仿宋_GB2312" w:eastAsia="仿宋_GB2312"/>
          <w:bCs/>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二、</w:t>
      </w:r>
      <w:r>
        <w:rPr>
          <w:rFonts w:hint="eastAsia" w:ascii="仿宋_GB2312" w:hAnsi="仿宋_GB2312" w:eastAsia="仿宋_GB2312" w:cs="仿宋_GB2312"/>
          <w:color w:val="000000" w:themeColor="text1"/>
          <w:sz w:val="32"/>
          <w:szCs w:val="32"/>
          <w14:textFill>
            <w14:solidFill>
              <w14:schemeClr w14:val="tx1"/>
            </w14:solidFill>
          </w14:textFill>
        </w:rPr>
        <w:t>你公司在项目建设和营运期间，必须严格落实环境影响报告表中提出的污染防治和生态保护的措施，并重点做好以下工作：</w:t>
      </w:r>
    </w:p>
    <w:p>
      <w:pPr>
        <w:spacing w:line="580" w:lineRule="exact"/>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（一）相关政策要求。</w:t>
      </w:r>
      <w:r>
        <w:rPr>
          <w:rFonts w:hint="eastAsia" w:ascii="仿宋_GB2312" w:eastAsia="仿宋_GB2312"/>
          <w:bCs/>
          <w:color w:val="000000" w:themeColor="text1"/>
          <w:sz w:val="32"/>
          <w:szCs w:val="32"/>
          <w14:textFill>
            <w14:solidFill>
              <w14:schemeClr w14:val="tx1"/>
            </w14:solidFill>
          </w14:textFill>
        </w:rPr>
        <w:t>严格按照国家相关法律法规要求开展本项目的建设和施工活动，工程在开工建设前应获得相关主管部门对本工程的审批意见。</w:t>
      </w:r>
      <w:r>
        <w:rPr>
          <w:rFonts w:hint="eastAsia" w:ascii="仿宋_GB2312" w:hAnsi="仿宋" w:eastAsia="仿宋_GB2312"/>
          <w:color w:val="000000" w:themeColor="text1"/>
          <w:sz w:val="32"/>
          <w:szCs w:val="32"/>
          <w14:textFill>
            <w14:solidFill>
              <w14:schemeClr w14:val="tx1"/>
            </w14:solidFill>
          </w14:textFill>
        </w:rPr>
        <w:t>所选用生产设备及环保设施需符合国家质量安全要求。</w:t>
      </w:r>
      <w:r>
        <w:rPr>
          <w:rFonts w:hint="eastAsia" w:ascii="仿宋_GB2312" w:hAnsi="仿宋" w:eastAsia="仿宋_GB2312" w:cs="仿宋_GB2312"/>
          <w:color w:val="000000" w:themeColor="text1"/>
          <w:sz w:val="32"/>
          <w:szCs w:val="32"/>
          <w14:textFill>
            <w14:solidFill>
              <w14:schemeClr w14:val="tx1"/>
            </w14:solidFill>
          </w14:textFill>
        </w:rPr>
        <w:t>严格执行</w:t>
      </w:r>
      <w:r>
        <w:rPr>
          <w:rFonts w:ascii="仿宋_GB2312" w:hAnsi="仿宋" w:eastAsia="仿宋_GB2312" w:cs="仿宋_GB2312"/>
          <w:color w:val="000000" w:themeColor="text1"/>
          <w:sz w:val="32"/>
          <w:szCs w:val="32"/>
          <w14:textFill>
            <w14:solidFill>
              <w14:schemeClr w14:val="tx1"/>
            </w14:solidFill>
          </w14:textFill>
        </w:rPr>
        <w:t>《危险废物贮存污染控制标准》( GB18597-2001)及其修改单</w:t>
      </w:r>
      <w:r>
        <w:rPr>
          <w:rFonts w:hint="eastAsia" w:ascii="仿宋_GB2312" w:hAnsi="仿宋" w:eastAsia="仿宋_GB2312" w:cs="仿宋_GB2312"/>
          <w:color w:val="000000" w:themeColor="text1"/>
          <w:sz w:val="32"/>
          <w:szCs w:val="32"/>
          <w14:textFill>
            <w14:solidFill>
              <w14:schemeClr w14:val="tx1"/>
            </w14:solidFill>
          </w14:textFill>
        </w:rPr>
        <w:t>、</w:t>
      </w:r>
      <w:r>
        <w:rPr>
          <w:rFonts w:ascii="仿宋_GB2312" w:hAnsi="仿宋" w:eastAsia="仿宋_GB2312" w:cs="仿宋_GB2312"/>
          <w:color w:val="000000" w:themeColor="text1"/>
          <w:sz w:val="32"/>
          <w:szCs w:val="32"/>
          <w14:textFill>
            <w14:solidFill>
              <w14:schemeClr w14:val="tx1"/>
            </w14:solidFill>
          </w14:textFill>
        </w:rPr>
        <w:t>《危险废物收集、贮存、运输技术规范》（HJ</w:t>
      </w:r>
      <w:r>
        <w:rPr>
          <w:rFonts w:hint="eastAsia" w:ascii="仿宋_GB2312" w:hAnsi="仿宋" w:eastAsia="仿宋_GB2312" w:cs="仿宋_GB2312"/>
          <w:color w:val="000000" w:themeColor="text1"/>
          <w:sz w:val="32"/>
          <w:szCs w:val="32"/>
          <w14:textFill>
            <w14:solidFill>
              <w14:schemeClr w14:val="tx1"/>
            </w14:solidFill>
          </w14:textFill>
        </w:rPr>
        <w:t>2</w:t>
      </w:r>
      <w:r>
        <w:rPr>
          <w:rFonts w:ascii="仿宋_GB2312" w:hAnsi="仿宋" w:eastAsia="仿宋_GB2312" w:cs="仿宋_GB2312"/>
          <w:color w:val="000000" w:themeColor="text1"/>
          <w:sz w:val="32"/>
          <w:szCs w:val="32"/>
          <w14:textFill>
            <w14:solidFill>
              <w14:schemeClr w14:val="tx1"/>
            </w14:solidFill>
          </w14:textFill>
        </w:rPr>
        <w:t>025-2012）</w:t>
      </w:r>
      <w:r>
        <w:rPr>
          <w:rFonts w:hint="eastAsia" w:ascii="仿宋_GB2312" w:hAnsi="仿宋" w:eastAsia="仿宋_GB2312" w:cs="仿宋_GB2312"/>
          <w:color w:val="000000" w:themeColor="text1"/>
          <w:sz w:val="32"/>
          <w:szCs w:val="32"/>
          <w14:textFill>
            <w14:solidFill>
              <w14:schemeClr w14:val="tx1"/>
            </w14:solidFill>
          </w14:textFill>
        </w:rPr>
        <w:t>、</w:t>
      </w:r>
      <w:r>
        <w:rPr>
          <w:rFonts w:hint="eastAsia" w:ascii="仿宋_GB2312" w:hAnsi="仿宋" w:eastAsia="仿宋_GB2312" w:cs="仿宋_GB2312"/>
          <w:bCs/>
          <w:color w:val="000000" w:themeColor="text1"/>
          <w:sz w:val="32"/>
          <w:szCs w:val="32"/>
          <w14:textFill>
            <w14:solidFill>
              <w14:schemeClr w14:val="tx1"/>
            </w14:solidFill>
          </w14:textFill>
        </w:rPr>
        <w:t>《废矿物油回收利用污染控制技术规范》（</w:t>
      </w:r>
      <w:r>
        <w:rPr>
          <w:rFonts w:ascii="仿宋_GB2312" w:hAnsi="仿宋" w:eastAsia="仿宋_GB2312" w:cs="仿宋_GB2312"/>
          <w:bCs/>
          <w:color w:val="000000" w:themeColor="text1"/>
          <w:sz w:val="32"/>
          <w:szCs w:val="32"/>
          <w14:textFill>
            <w14:solidFill>
              <w14:schemeClr w14:val="tx1"/>
            </w14:solidFill>
          </w14:textFill>
        </w:rPr>
        <w:t>HJ607-2011</w:t>
      </w:r>
      <w:r>
        <w:rPr>
          <w:rFonts w:hint="eastAsia" w:ascii="仿宋_GB2312" w:hAnsi="仿宋" w:eastAsia="仿宋_GB2312" w:cs="仿宋_GB2312"/>
          <w:bCs/>
          <w:color w:val="000000" w:themeColor="text1"/>
          <w:sz w:val="32"/>
          <w:szCs w:val="32"/>
          <w14:textFill>
            <w14:solidFill>
              <w14:schemeClr w14:val="tx1"/>
            </w14:solidFill>
          </w14:textFill>
        </w:rPr>
        <w:t>）</w:t>
      </w:r>
      <w:r>
        <w:rPr>
          <w:rFonts w:hint="eastAsia" w:ascii="仿宋_GB2312" w:hAnsi="仿宋" w:eastAsia="仿宋_GB2312" w:cs="仿宋_GB2312"/>
          <w:color w:val="000000" w:themeColor="text1"/>
          <w:sz w:val="32"/>
          <w:szCs w:val="32"/>
          <w14:textFill>
            <w14:solidFill>
              <w14:schemeClr w14:val="tx1"/>
            </w14:solidFill>
          </w14:textFill>
        </w:rPr>
        <w:t>等相关要求</w:t>
      </w:r>
      <w:r>
        <w:rPr>
          <w:rFonts w:hint="eastAsia" w:ascii="仿宋_GB2312" w:hAnsi="仿宋" w:eastAsia="仿宋_GB2312"/>
          <w:color w:val="000000" w:themeColor="text1"/>
          <w:sz w:val="32"/>
          <w:szCs w:val="32"/>
          <w14:textFill>
            <w14:solidFill>
              <w14:schemeClr w14:val="tx1"/>
            </w14:solidFill>
          </w14:textFill>
        </w:rPr>
        <w:t>。</w:t>
      </w:r>
      <w:r>
        <w:rPr>
          <w:rFonts w:hint="eastAsia" w:ascii="仿宋_GB2312" w:hAnsi="仿宋" w:eastAsia="仿宋_GB2312" w:cs="仿宋_GB2312"/>
          <w:color w:val="000000" w:themeColor="text1"/>
          <w:sz w:val="32"/>
          <w:szCs w:val="32"/>
          <w14:textFill>
            <w14:solidFill>
              <w14:schemeClr w14:val="tx1"/>
            </w14:solidFill>
          </w14:textFill>
        </w:rPr>
        <w:t>落实好各项安全措施，建设足够容量的事故应急处置设施，避免因安全问题引发次生环境问题。</w:t>
      </w:r>
      <w:r>
        <w:rPr>
          <w:rFonts w:hint="eastAsia" w:ascii="仿宋_GB2312" w:hAnsi="仿宋" w:eastAsia="仿宋_GB2312"/>
          <w:bCs/>
          <w:color w:val="000000" w:themeColor="text1"/>
          <w:sz w:val="32"/>
          <w:szCs w:val="32"/>
          <w14:textFill>
            <w14:solidFill>
              <w14:schemeClr w14:val="tx1"/>
            </w14:solidFill>
          </w14:textFill>
        </w:rPr>
        <w:t>应严格限制项目厂址周边土地使用性质，对项目所在地周边区域进行合理规划，避免在</w:t>
      </w:r>
      <w:r>
        <w:rPr>
          <w:rFonts w:hint="eastAsia" w:ascii="仿宋_GB2312" w:hAnsi="仿宋" w:eastAsia="仿宋_GB2312"/>
          <w:color w:val="000000" w:themeColor="text1"/>
          <w:sz w:val="32"/>
          <w:szCs w:val="32"/>
          <w14:textFill>
            <w14:solidFill>
              <w14:schemeClr w14:val="tx1"/>
            </w14:solidFill>
          </w14:textFill>
        </w:rPr>
        <w:t>厂界周边</w:t>
      </w:r>
      <w:r>
        <w:rPr>
          <w:rFonts w:hint="eastAsia" w:ascii="仿宋_GB2312" w:hAnsi="仿宋_GB2312" w:eastAsia="仿宋_GB2312" w:cs="仿宋_GB2312"/>
          <w:color w:val="000000" w:themeColor="text1"/>
          <w:sz w:val="32"/>
          <w:szCs w:val="32"/>
          <w14:textFill>
            <w14:solidFill>
              <w14:schemeClr w14:val="tx1"/>
            </w14:solidFill>
          </w14:textFill>
        </w:rPr>
        <w:t>新建医院、学校、集中居民区、行政办公和科研等环境敏感目标</w:t>
      </w:r>
      <w:r>
        <w:rPr>
          <w:rFonts w:hint="eastAsia" w:ascii="仿宋_GB2312" w:hAnsi="仿宋" w:eastAsia="仿宋_GB2312" w:cs="仿宋_GB2312"/>
          <w:color w:val="000000" w:themeColor="text1"/>
          <w:sz w:val="32"/>
          <w:szCs w:val="32"/>
          <w14:textFill>
            <w14:solidFill>
              <w14:schemeClr w14:val="tx1"/>
            </w14:solidFill>
          </w14:textFill>
        </w:rPr>
        <w:t>。按照国家《环境保护图形标志》（GB15562.1-2-95）的规定，设置国家环保部统一制作的环境保护图形标志牌，便于企业管理和公众监督。</w:t>
      </w:r>
    </w:p>
    <w:p>
      <w:pPr>
        <w:spacing w:line="580" w:lineRule="exact"/>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二）废水污染防治。按照“雨污分流、清污分流”原则，规范落实污水防治设施。生活污水经处理后，满足《污水综合排放标准》（GB8978-1996）中三级标准和下河线污水处理厂接纳标准，排入下河线污水处理厂深度处理。</w:t>
      </w:r>
      <w:r>
        <w:rPr>
          <w:rFonts w:ascii="仿宋_GB2312" w:hAnsi="仿宋" w:eastAsia="仿宋_GB2312"/>
          <w:color w:val="000000" w:themeColor="text1"/>
          <w:sz w:val="32"/>
          <w:szCs w:val="32"/>
          <w14:textFill>
            <w14:solidFill>
              <w14:schemeClr w14:val="tx1"/>
            </w14:solidFill>
          </w14:textFill>
        </w:rPr>
        <w:t>油罐、油桶</w:t>
      </w:r>
      <w:r>
        <w:rPr>
          <w:rFonts w:hint="eastAsia" w:ascii="仿宋_GB2312" w:hAnsi="仿宋" w:eastAsia="仿宋_GB2312"/>
          <w:color w:val="000000" w:themeColor="text1"/>
          <w:sz w:val="32"/>
          <w:szCs w:val="32"/>
          <w14:textFill>
            <w14:solidFill>
              <w14:schemeClr w14:val="tx1"/>
            </w14:solidFill>
          </w14:textFill>
        </w:rPr>
        <w:t>、</w:t>
      </w:r>
      <w:r>
        <w:rPr>
          <w:rFonts w:hint="eastAsia" w:ascii="仿宋_GB2312" w:hAnsi="仿宋" w:eastAsia="仿宋_GB2312"/>
          <w:bCs/>
          <w:color w:val="000000" w:themeColor="text1"/>
          <w:sz w:val="32"/>
          <w:szCs w:val="32"/>
          <w14:textFill>
            <w14:solidFill>
              <w14:schemeClr w14:val="tx1"/>
            </w14:solidFill>
          </w14:textFill>
        </w:rPr>
        <w:t>装卸区域应采取严格的防渗措施，确保不对地下水体造成污染。</w:t>
      </w:r>
      <w:r>
        <w:rPr>
          <w:rFonts w:ascii="仿宋_GB2312" w:eastAsia="仿宋_GB2312"/>
          <w:color w:val="000000" w:themeColor="text1"/>
          <w:sz w:val="32"/>
          <w:szCs w:val="32"/>
          <w14:textFill>
            <w14:solidFill>
              <w14:schemeClr w14:val="tx1"/>
            </w14:solidFill>
          </w14:textFill>
        </w:rPr>
        <w:t>废矿物油存储区</w:t>
      </w:r>
      <w:r>
        <w:rPr>
          <w:rFonts w:hint="eastAsia" w:ascii="仿宋_GB2312" w:hAnsi="仿宋" w:eastAsia="仿宋_GB2312"/>
          <w:bCs/>
          <w:color w:val="000000" w:themeColor="text1"/>
          <w:sz w:val="32"/>
          <w:szCs w:val="32"/>
          <w14:textFill>
            <w14:solidFill>
              <w14:schemeClr w14:val="tx1"/>
            </w14:solidFill>
          </w14:textFill>
        </w:rPr>
        <w:t>设置自动监测报警系统以及</w:t>
      </w:r>
      <w:r>
        <w:rPr>
          <w:rFonts w:hint="eastAsia" w:ascii="仿宋_GB2312" w:eastAsia="仿宋_GB2312"/>
          <w:color w:val="000000" w:themeColor="text1"/>
          <w:sz w:val="32"/>
          <w:szCs w:val="32"/>
          <w14:textFill>
            <w14:solidFill>
              <w14:schemeClr w14:val="tx1"/>
            </w14:solidFill>
          </w14:textFill>
        </w:rPr>
        <w:t>截流引流设施</w:t>
      </w:r>
      <w:r>
        <w:rPr>
          <w:rFonts w:hint="eastAsia" w:ascii="仿宋_GB2312" w:hAnsi="仿宋" w:eastAsia="仿宋_GB2312"/>
          <w:color w:val="000000" w:themeColor="text1"/>
          <w:sz w:val="32"/>
          <w:szCs w:val="32"/>
          <w14:textFill>
            <w14:solidFill>
              <w14:schemeClr w14:val="tx1"/>
            </w14:solidFill>
          </w14:textFill>
        </w:rPr>
        <w:t>，</w:t>
      </w:r>
      <w:r>
        <w:rPr>
          <w:rFonts w:hint="eastAsia" w:ascii="仿宋_GB2312" w:hAnsi="仿宋" w:eastAsia="仿宋_GB2312"/>
          <w:bCs/>
          <w:color w:val="000000" w:themeColor="text1"/>
          <w:sz w:val="32"/>
          <w:szCs w:val="32"/>
          <w14:textFill>
            <w14:solidFill>
              <w14:schemeClr w14:val="tx1"/>
            </w14:solidFill>
          </w14:textFill>
        </w:rPr>
        <w:t>事故情况下液态污染物和消防废水全部进入事故应急池贮存、处理。</w:t>
      </w:r>
    </w:p>
    <w:p>
      <w:pPr>
        <w:spacing w:line="580" w:lineRule="exact"/>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（三）废气污染防治。加强管理及设备维护保养，配备</w:t>
      </w:r>
      <w:r>
        <w:rPr>
          <w:rFonts w:ascii="仿宋_GB2312" w:hAnsi="仿宋" w:eastAsia="仿宋_GB2312"/>
          <w:color w:val="000000" w:themeColor="text1"/>
          <w:sz w:val="32"/>
          <w:szCs w:val="32"/>
          <w14:textFill>
            <w14:solidFill>
              <w14:schemeClr w14:val="tx1"/>
            </w14:solidFill>
          </w14:textFill>
        </w:rPr>
        <w:t>油气回收装置、密闭卸油装置</w:t>
      </w:r>
      <w:r>
        <w:rPr>
          <w:rFonts w:hint="eastAsia" w:ascii="仿宋_GB2312" w:hAnsi="仿宋" w:eastAsia="仿宋_GB2312"/>
          <w:color w:val="000000" w:themeColor="text1"/>
          <w:sz w:val="32"/>
          <w:szCs w:val="32"/>
          <w14:textFill>
            <w14:solidFill>
              <w14:schemeClr w14:val="tx1"/>
            </w14:solidFill>
          </w14:textFill>
        </w:rPr>
        <w:t>，避免</w:t>
      </w:r>
      <w:r>
        <w:rPr>
          <w:rFonts w:ascii="仿宋_GB2312" w:eastAsia="仿宋_GB2312"/>
          <w:color w:val="000000" w:themeColor="text1"/>
          <w:sz w:val="32"/>
          <w:szCs w:val="32"/>
          <w14:textFill>
            <w14:solidFill>
              <w14:schemeClr w14:val="tx1"/>
            </w14:solidFill>
          </w14:textFill>
        </w:rPr>
        <w:t>废矿物油</w:t>
      </w:r>
      <w:r>
        <w:rPr>
          <w:rFonts w:hint="eastAsia" w:ascii="仿宋_GB2312" w:hAnsi="仿宋" w:eastAsia="仿宋_GB2312"/>
          <w:color w:val="000000" w:themeColor="text1"/>
          <w:sz w:val="32"/>
          <w:szCs w:val="32"/>
          <w14:textFill>
            <w14:solidFill>
              <w14:schemeClr w14:val="tx1"/>
            </w14:solidFill>
          </w14:textFill>
        </w:rPr>
        <w:t>装卸、灌装时发生跑、冒、漏现象。强化对无组织排放废气的污染防治，无组织排放废气应满足《大气污染物综合排放标准》（GB16297-1996）无组织排放监控浓度限值要求。</w:t>
      </w:r>
    </w:p>
    <w:p>
      <w:pPr>
        <w:spacing w:line="580" w:lineRule="exact"/>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（四）噪声污染防治。优化设备选型，合理布置高噪声设备并采取隔声、消声、减振措施，确保厂界噪声达到《工业企业厂界环境噪声排放标准》（GB12348-2008）标准。</w:t>
      </w:r>
    </w:p>
    <w:p>
      <w:pPr>
        <w:spacing w:line="580" w:lineRule="exact"/>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（五）固体废物处置。</w:t>
      </w:r>
      <w:r>
        <w:rPr>
          <w:rFonts w:hint="eastAsia" w:ascii="仿宋_GB2312" w:hAnsi="仿宋" w:eastAsia="仿宋_GB2312" w:cs="仿宋_GB2312"/>
          <w:color w:val="000000" w:themeColor="text1"/>
          <w:sz w:val="32"/>
          <w:szCs w:val="32"/>
          <w14:textFill>
            <w14:solidFill>
              <w14:schemeClr w14:val="tx1"/>
            </w14:solidFill>
          </w14:textFill>
        </w:rPr>
        <w:t>加强对各类固体废物的妥善处置。</w:t>
      </w:r>
      <w:r>
        <w:rPr>
          <w:rFonts w:ascii="仿宋_GB2312" w:hAnsi="仿宋" w:eastAsia="仿宋_GB2312" w:cs="仿宋_GB2312"/>
          <w:color w:val="000000" w:themeColor="text1"/>
          <w:sz w:val="32"/>
          <w:szCs w:val="32"/>
          <w14:textFill>
            <w14:solidFill>
              <w14:schemeClr w14:val="tx1"/>
            </w14:solidFill>
          </w14:textFill>
        </w:rPr>
        <w:t>危险废物</w:t>
      </w:r>
      <w:r>
        <w:rPr>
          <w:rFonts w:hint="eastAsia" w:ascii="仿宋_GB2312" w:hAnsi="仿宋" w:eastAsia="仿宋_GB2312" w:cs="仿宋_GB2312"/>
          <w:color w:val="000000" w:themeColor="text1"/>
          <w:sz w:val="32"/>
          <w:szCs w:val="32"/>
          <w14:textFill>
            <w14:solidFill>
              <w14:schemeClr w14:val="tx1"/>
            </w14:solidFill>
          </w14:textFill>
        </w:rPr>
        <w:t>必须严格按照国家的相关规定进行规范管理，办理危险废物转移手续，定期交有危险废物处理资质的单位进行处置。</w:t>
      </w:r>
      <w:r>
        <w:rPr>
          <w:rFonts w:ascii="仿宋_GB2312" w:hAnsi="仿宋" w:eastAsia="仿宋_GB2312" w:cs="仿宋_GB2312"/>
          <w:color w:val="000000" w:themeColor="text1"/>
          <w:sz w:val="32"/>
          <w:szCs w:val="32"/>
          <w14:textFill>
            <w14:solidFill>
              <w14:schemeClr w14:val="tx1"/>
            </w14:solidFill>
          </w14:textFill>
        </w:rPr>
        <w:t>废</w:t>
      </w:r>
      <w:r>
        <w:rPr>
          <w:rFonts w:hint="eastAsia" w:ascii="仿宋_GB2312" w:hAnsi="仿宋" w:eastAsia="仿宋_GB2312" w:cs="仿宋_GB2312"/>
          <w:color w:val="000000" w:themeColor="text1"/>
          <w:sz w:val="32"/>
          <w:szCs w:val="32"/>
          <w14:textFill>
            <w14:solidFill>
              <w14:schemeClr w14:val="tx1"/>
            </w14:solidFill>
          </w14:textFill>
        </w:rPr>
        <w:t>矿物油接收单位必须是具有危险废物处置资质的合法单位，转运单位、车辆、路线符合国家相关要求。</w:t>
      </w:r>
    </w:p>
    <w:p>
      <w:pPr>
        <w:spacing w:line="580" w:lineRule="exact"/>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（六）生态环境保护。科学规划，合理布局，注重绿化，维护区域生态环境质量。强化生态保护和水土保持措施，防止水土流失和生态破坏。</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七）环境风险防范。加强环境风险管理及项目安全生产检查，制定环境风险应急预案及防范措施，提高事故风险防范和污染控制能力，对事故隐患做到及早发现，及时处理，确保区域环境安全。科学布设报警预警设施、事故应急设施（物料泄漏截流设施、风险事故池、消防水池等）。建立严格的操作制度，并通过岗前培训、应急演练等方式不断提高职工素质和处理突发事件的能力，加强定期演练。</w:t>
      </w:r>
      <w:r>
        <w:rPr>
          <w:rFonts w:hint="eastAsia" w:ascii="仿宋_GB2312" w:eastAsia="仿宋_GB2312"/>
          <w:color w:val="000000" w:themeColor="text1"/>
          <w:sz w:val="32"/>
          <w:szCs w:val="32"/>
          <w14:textFill>
            <w14:solidFill>
              <w14:schemeClr w14:val="tx1"/>
            </w14:solidFill>
          </w14:textFill>
        </w:rPr>
        <w:t>设专职环保管理人员做好污防设施的维护管理，确保设备长期稳定运行。</w:t>
      </w:r>
    </w:p>
    <w:p>
      <w:pPr>
        <w:spacing w:line="580" w:lineRule="exact"/>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（八）维护社会稳定。</w:t>
      </w:r>
      <w:r>
        <w:rPr>
          <w:rFonts w:hint="eastAsia" w:ascii="仿宋_GB2312" w:hAnsi="仿宋_GB2312" w:eastAsia="仿宋_GB2312" w:cs="仿宋_GB2312"/>
          <w:color w:val="000000" w:themeColor="text1"/>
          <w:sz w:val="32"/>
          <w:szCs w:val="32"/>
          <w14:textFill>
            <w14:solidFill>
              <w14:schemeClr w14:val="tx1"/>
            </w14:solidFill>
          </w14:textFill>
        </w:rPr>
        <w:t>加强对项目附近环境敏感点的环境保护，处理好与周边的关系，采取有效的环保及安全措施，防止周边群众因环保诉求而引发矛盾，自觉维护社会稳定。</w:t>
      </w:r>
    </w:p>
    <w:p>
      <w:pPr>
        <w:spacing w:line="580" w:lineRule="exact"/>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三、项目在环保申报过程中不得隐情不报，如有瞒报、谎报属违法行为，建设单位将承担由此产生的一切后果。本批复各项内容必须严格执行，建设单位如有违反，将依法追究法律责任。</w:t>
      </w:r>
    </w:p>
    <w:p>
      <w:pPr>
        <w:spacing w:line="580" w:lineRule="exact"/>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四、</w:t>
      </w:r>
      <w:r>
        <w:rPr>
          <w:rFonts w:hint="eastAsia" w:ascii="仿宋_GB2312" w:hAnsi="仿宋" w:eastAsia="仿宋_GB2312"/>
          <w:bCs/>
          <w:color w:val="000000" w:themeColor="text1"/>
          <w:sz w:val="32"/>
          <w:szCs w:val="32"/>
          <w14:textFill>
            <w14:solidFill>
              <w14:schemeClr w14:val="tx1"/>
            </w14:solidFill>
          </w14:textFill>
        </w:rPr>
        <w:t>项目建成</w:t>
      </w:r>
      <w:r>
        <w:rPr>
          <w:rFonts w:hint="eastAsia" w:ascii="仿宋_GB2312" w:hAnsi="仿宋_GB2312" w:eastAsia="仿宋_GB2312" w:cs="仿宋_GB2312"/>
          <w:color w:val="000000" w:themeColor="text1"/>
          <w:sz w:val="32"/>
          <w:szCs w:val="32"/>
          <w14:textFill>
            <w14:solidFill>
              <w14:schemeClr w14:val="tx1"/>
            </w14:solidFill>
          </w14:textFill>
        </w:rPr>
        <w:t>后</w:t>
      </w:r>
      <w:r>
        <w:rPr>
          <w:rFonts w:hint="eastAsia" w:ascii="仿宋_GB2312" w:hAnsi="仿宋" w:eastAsia="仿宋_GB2312"/>
          <w:bCs/>
          <w:color w:val="000000" w:themeColor="text1"/>
          <w:sz w:val="32"/>
          <w:szCs w:val="32"/>
          <w14:textFill>
            <w14:solidFill>
              <w14:schemeClr w14:val="tx1"/>
            </w14:solidFill>
          </w14:textFill>
        </w:rPr>
        <w:t>，应按建设项目环境保护“三同时”规定，自主开展环境保护竣工验收</w:t>
      </w:r>
      <w:r>
        <w:rPr>
          <w:rFonts w:hint="eastAsia" w:ascii="仿宋_GB2312" w:hAnsi="仿宋" w:eastAsia="仿宋_GB2312"/>
          <w:color w:val="000000" w:themeColor="text1"/>
          <w:sz w:val="32"/>
          <w:szCs w:val="32"/>
          <w14:textFill>
            <w14:solidFill>
              <w14:schemeClr w14:val="tx1"/>
            </w14:solidFill>
          </w14:textFill>
        </w:rPr>
        <w:t>。</w:t>
      </w:r>
    </w:p>
    <w:p>
      <w:pPr>
        <w:spacing w:line="580" w:lineRule="exact"/>
        <w:ind w:firstLine="640" w:firstLineChars="200"/>
        <w:rPr>
          <w:rFonts w:ascii="仿宋_GB2312" w:hAnsi="仿宋" w:eastAsia="仿宋_GB2312"/>
          <w:bCs/>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五、</w:t>
      </w:r>
      <w:r>
        <w:rPr>
          <w:rFonts w:hint="eastAsia" w:ascii="仿宋_GB2312" w:hAnsi="仿宋" w:eastAsia="仿宋_GB2312"/>
          <w:bCs/>
          <w:color w:val="000000" w:themeColor="text1"/>
          <w:sz w:val="32"/>
          <w:szCs w:val="32"/>
          <w14:textFill>
            <w14:solidFill>
              <w14:schemeClr w14:val="tx1"/>
            </w14:solidFill>
          </w14:textFill>
        </w:rPr>
        <w:t>建设单位应在收到本批复后15个工作日内，将批复批准后的本项目环评报告表送永州市生态环境局冷水滩分局。拟建项目环保“三同时”执行情况的监督检查和日常环境管理工作由永州市生态环境局冷水滩分局具体负责。</w:t>
      </w:r>
    </w:p>
    <w:p>
      <w:pPr>
        <w:spacing w:line="580" w:lineRule="exact"/>
        <w:ind w:firstLine="640" w:firstLineChars="200"/>
        <w:rPr>
          <w:rFonts w:ascii="仿宋_GB2312" w:hAnsi="仿宋" w:eastAsia="仿宋_GB2312"/>
          <w:bCs/>
          <w:color w:val="000000" w:themeColor="text1"/>
          <w:sz w:val="32"/>
          <w:szCs w:val="32"/>
          <w14:textFill>
            <w14:solidFill>
              <w14:schemeClr w14:val="tx1"/>
            </w14:solidFill>
          </w14:textFill>
        </w:rPr>
      </w:pPr>
    </w:p>
    <w:p>
      <w:pPr>
        <w:adjustRightInd w:val="0"/>
        <w:snapToGrid w:val="0"/>
        <w:spacing w:line="600" w:lineRule="exact"/>
        <w:ind w:firstLine="4419" w:firstLineChars="1381"/>
        <w:jc w:val="center"/>
        <w:outlineLvl w:val="0"/>
        <w:rPr>
          <w:rFonts w:ascii="仿宋_GB2312" w:hAnsi="仿宋" w:eastAsia="仿宋_GB2312" w:cs="仿宋_GB2312"/>
          <w:color w:val="000000" w:themeColor="text1"/>
          <w:sz w:val="32"/>
          <w:szCs w:val="32"/>
          <w:lang w:val="zh-CN"/>
          <w14:textFill>
            <w14:solidFill>
              <w14:schemeClr w14:val="tx1"/>
            </w14:solidFill>
          </w14:textFill>
        </w:rPr>
      </w:pPr>
      <w:r>
        <w:rPr>
          <w:rFonts w:hint="eastAsia" w:ascii="仿宋_GB2312" w:hAnsi="仿宋" w:eastAsia="仿宋_GB2312" w:cs="仿宋_GB2312"/>
          <w:color w:val="000000" w:themeColor="text1"/>
          <w:sz w:val="32"/>
          <w:szCs w:val="32"/>
          <w:lang w:val="zh-CN"/>
          <w14:textFill>
            <w14:solidFill>
              <w14:schemeClr w14:val="tx1"/>
            </w14:solidFill>
          </w14:textFill>
        </w:rPr>
        <w:t>永州市生态环境局</w:t>
      </w:r>
      <w:bookmarkStart w:id="0" w:name="_GoBack"/>
      <w:bookmarkEnd w:id="0"/>
    </w:p>
    <w:p>
      <w:pPr>
        <w:adjustRightInd w:val="0"/>
        <w:snapToGrid w:val="0"/>
        <w:spacing w:line="600" w:lineRule="exact"/>
        <w:ind w:firstLine="4419" w:firstLineChars="1381"/>
        <w:jc w:val="center"/>
        <w:rPr>
          <w:rFonts w:ascii="仿宋_GB2312" w:hAnsi="仿宋" w:eastAsia="仿宋_GB2312" w:cs="仿宋_GB2312"/>
          <w:color w:val="000000" w:themeColor="text1"/>
          <w:sz w:val="32"/>
          <w:szCs w:val="32"/>
          <w:lang w:val="zh-CN"/>
          <w14:textFill>
            <w14:solidFill>
              <w14:schemeClr w14:val="tx1"/>
            </w14:solidFill>
          </w14:textFill>
        </w:rPr>
      </w:pPr>
      <w:r>
        <w:rPr>
          <w:rFonts w:hint="eastAsia" w:ascii="仿宋_GB2312" w:hAnsi="仿宋" w:eastAsia="仿宋_GB2312" w:cs="仿宋_GB2312"/>
          <w:color w:val="000000" w:themeColor="text1"/>
          <w:sz w:val="32"/>
          <w:szCs w:val="32"/>
          <w:lang w:val="zh-CN"/>
          <w14:textFill>
            <w14:solidFill>
              <w14:schemeClr w14:val="tx1"/>
            </w14:solidFill>
          </w14:textFill>
        </w:rPr>
        <w:t>2020年6月22日</w:t>
      </w:r>
    </w:p>
    <w:p>
      <w:pPr>
        <w:keepNext w:val="0"/>
        <w:keepLines w:val="0"/>
        <w:pageBreakBefore w:val="0"/>
        <w:widowControl w:val="0"/>
        <w:kinsoku/>
        <w:wordWrap/>
        <w:overflowPunct/>
        <w:topLinePunct w:val="0"/>
        <w:autoSpaceDE/>
        <w:autoSpaceDN/>
        <w:bidi w:val="0"/>
        <w:adjustRightInd w:val="0"/>
        <w:snapToGrid w:val="0"/>
        <w:spacing w:before="157" w:beforeLines="50" w:line="560" w:lineRule="exact"/>
        <w:ind w:firstLine="320" w:firstLineChars="100"/>
        <w:textAlignment w:val="auto"/>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s="仿宋_GB2312"/>
          <w:color w:val="000000" w:themeColor="text1"/>
          <w:sz w:val="32"/>
          <w:szCs w:val="32"/>
          <w:lang w:val="zh-CN"/>
          <w14:textFill>
            <w14:solidFill>
              <w14:schemeClr w14:val="tx1"/>
            </w14:solidFill>
          </w14:textFill>
        </w:rPr>
        <w:t>抄送：</w:t>
      </w:r>
      <w:r>
        <w:rPr>
          <w:rFonts w:hint="eastAsia" w:ascii="仿宋_GB2312" w:hAnsi="仿宋" w:eastAsia="仿宋_GB2312"/>
          <w:bCs/>
          <w:color w:val="000000" w:themeColor="text1"/>
          <w:sz w:val="32"/>
          <w:szCs w:val="32"/>
          <w14:textFill>
            <w14:solidFill>
              <w14:schemeClr w14:val="tx1"/>
            </w14:solidFill>
          </w14:textFill>
        </w:rPr>
        <w:t>永州市生态环境局</w:t>
      </w:r>
      <w:r>
        <w:rPr>
          <w:rFonts w:hint="eastAsia" w:ascii="仿宋_GB2312" w:hAnsi="仿宋" w:eastAsia="仿宋_GB2312"/>
          <w:color w:val="000000" w:themeColor="text1"/>
          <w:sz w:val="32"/>
          <w:szCs w:val="32"/>
          <w14:textFill>
            <w14:solidFill>
              <w14:schemeClr w14:val="tx1"/>
            </w14:solidFill>
          </w14:textFill>
        </w:rPr>
        <w:t>冷水滩分</w:t>
      </w:r>
      <w:r>
        <w:rPr>
          <w:rFonts w:hint="eastAsia" w:ascii="仿宋_GB2312" w:hAnsi="仿宋" w:eastAsia="仿宋_GB2312" w:cs="仿宋_GB2312"/>
          <w:color w:val="000000" w:themeColor="text1"/>
          <w:sz w:val="32"/>
          <w:szCs w:val="32"/>
          <w:lang w:val="zh-CN"/>
          <w14:textFill>
            <w14:solidFill>
              <w14:schemeClr w14:val="tx1"/>
            </w14:solidFill>
          </w14:textFill>
        </w:rPr>
        <w:t>局，湖南润美环保科技有限公司</w:t>
      </w:r>
      <w:r>
        <w:rPr>
          <w:rFonts w:hint="eastAsia" w:ascii="仿宋_GB2312" w:hAnsi="仿宋" w:eastAsia="仿宋_GB2312"/>
          <w:color w:val="000000" w:themeColor="text1"/>
          <w:sz w:val="32"/>
          <w:szCs w:val="32"/>
          <w14:textFill>
            <w14:solidFill>
              <w14:schemeClr w14:val="tx1"/>
            </w14:solidFill>
          </w14:textFill>
        </w:rPr>
        <w:t>。</w:t>
      </w:r>
    </w:p>
    <w:sectPr>
      <w:headerReference r:id="rId3" w:type="default"/>
      <w:footerReference r:id="rId4" w:type="default"/>
      <w:footerReference r:id="rId5" w:type="even"/>
      <w:pgSz w:w="11906" w:h="16838"/>
      <w:pgMar w:top="1701" w:right="1644" w:bottom="1474" w:left="1644"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9"/>
      </w:rPr>
    </w:pPr>
    <w:r>
      <w:fldChar w:fldCharType="begin"/>
    </w:r>
    <w:r>
      <w:rPr>
        <w:rStyle w:val="9"/>
      </w:rPr>
      <w:instrText xml:space="preserve">PAGE  </w:instrText>
    </w:r>
    <w:r>
      <w:fldChar w:fldCharType="separate"/>
    </w:r>
    <w:r>
      <w:rPr>
        <w:rStyle w:val="9"/>
      </w:rPr>
      <w:t>2</w:t>
    </w:r>
    <w: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9"/>
      </w:rPr>
    </w:pPr>
    <w:r>
      <w:fldChar w:fldCharType="begin"/>
    </w:r>
    <w:r>
      <w:rPr>
        <w:rStyle w:val="9"/>
      </w:rPr>
      <w:instrText xml:space="preserve">PAGE  </w:instrText>
    </w:r>
    <w:r>
      <w:fldChar w:fldCharType="separate"/>
    </w:r>
    <w:r>
      <w:rPr>
        <w:rStyle w:val="9"/>
      </w:rPr>
      <w:t>1</w:t>
    </w:r>
    <w: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1156B"/>
    <w:rsid w:val="00012C2B"/>
    <w:rsid w:val="0003105B"/>
    <w:rsid w:val="00037C99"/>
    <w:rsid w:val="00042EB9"/>
    <w:rsid w:val="00052851"/>
    <w:rsid w:val="00055464"/>
    <w:rsid w:val="000718C0"/>
    <w:rsid w:val="000802C7"/>
    <w:rsid w:val="000827D4"/>
    <w:rsid w:val="000943B9"/>
    <w:rsid w:val="000A390D"/>
    <w:rsid w:val="000B40A9"/>
    <w:rsid w:val="000D1BC8"/>
    <w:rsid w:val="000E122A"/>
    <w:rsid w:val="000E3C64"/>
    <w:rsid w:val="000F4221"/>
    <w:rsid w:val="000F6959"/>
    <w:rsid w:val="00172A27"/>
    <w:rsid w:val="00175168"/>
    <w:rsid w:val="0018480B"/>
    <w:rsid w:val="00197CA4"/>
    <w:rsid w:val="001B374F"/>
    <w:rsid w:val="001B7933"/>
    <w:rsid w:val="001D5E13"/>
    <w:rsid w:val="001E2DA9"/>
    <w:rsid w:val="001F1806"/>
    <w:rsid w:val="002033F0"/>
    <w:rsid w:val="00204983"/>
    <w:rsid w:val="00214E39"/>
    <w:rsid w:val="00230078"/>
    <w:rsid w:val="00237615"/>
    <w:rsid w:val="00270514"/>
    <w:rsid w:val="0028137D"/>
    <w:rsid w:val="00292264"/>
    <w:rsid w:val="002A011F"/>
    <w:rsid w:val="002B4BC5"/>
    <w:rsid w:val="002B5F22"/>
    <w:rsid w:val="002E5D32"/>
    <w:rsid w:val="002F6F0D"/>
    <w:rsid w:val="003063CA"/>
    <w:rsid w:val="00314AE2"/>
    <w:rsid w:val="003441B5"/>
    <w:rsid w:val="003469DA"/>
    <w:rsid w:val="00375EFC"/>
    <w:rsid w:val="00384EA4"/>
    <w:rsid w:val="003B7C18"/>
    <w:rsid w:val="003E4299"/>
    <w:rsid w:val="003E4DA2"/>
    <w:rsid w:val="003E7756"/>
    <w:rsid w:val="004012A6"/>
    <w:rsid w:val="00410E78"/>
    <w:rsid w:val="00434032"/>
    <w:rsid w:val="00435DFF"/>
    <w:rsid w:val="004418BC"/>
    <w:rsid w:val="00446D02"/>
    <w:rsid w:val="004708BC"/>
    <w:rsid w:val="004743B3"/>
    <w:rsid w:val="00485359"/>
    <w:rsid w:val="004863AA"/>
    <w:rsid w:val="004A553C"/>
    <w:rsid w:val="004C3615"/>
    <w:rsid w:val="004D746D"/>
    <w:rsid w:val="004E181B"/>
    <w:rsid w:val="004F1D80"/>
    <w:rsid w:val="0051716E"/>
    <w:rsid w:val="00542AA9"/>
    <w:rsid w:val="00557E23"/>
    <w:rsid w:val="00577B3C"/>
    <w:rsid w:val="005807B4"/>
    <w:rsid w:val="00581E92"/>
    <w:rsid w:val="005969A4"/>
    <w:rsid w:val="005A7EE0"/>
    <w:rsid w:val="005B1F3A"/>
    <w:rsid w:val="005E2368"/>
    <w:rsid w:val="006137B5"/>
    <w:rsid w:val="00625C08"/>
    <w:rsid w:val="00631B76"/>
    <w:rsid w:val="00640749"/>
    <w:rsid w:val="00642CBC"/>
    <w:rsid w:val="006501F6"/>
    <w:rsid w:val="006541BE"/>
    <w:rsid w:val="006764BF"/>
    <w:rsid w:val="006904C2"/>
    <w:rsid w:val="00690567"/>
    <w:rsid w:val="006B290A"/>
    <w:rsid w:val="006B7CE2"/>
    <w:rsid w:val="006C68FA"/>
    <w:rsid w:val="006D44E3"/>
    <w:rsid w:val="006D5CF6"/>
    <w:rsid w:val="006F5155"/>
    <w:rsid w:val="00702DBD"/>
    <w:rsid w:val="00720552"/>
    <w:rsid w:val="00722910"/>
    <w:rsid w:val="007235E3"/>
    <w:rsid w:val="0077128E"/>
    <w:rsid w:val="00771321"/>
    <w:rsid w:val="007732AD"/>
    <w:rsid w:val="00794460"/>
    <w:rsid w:val="007955D1"/>
    <w:rsid w:val="007972B4"/>
    <w:rsid w:val="007B683E"/>
    <w:rsid w:val="007D3E17"/>
    <w:rsid w:val="00806902"/>
    <w:rsid w:val="008377B7"/>
    <w:rsid w:val="00844C59"/>
    <w:rsid w:val="00854AA0"/>
    <w:rsid w:val="0087289F"/>
    <w:rsid w:val="00874F83"/>
    <w:rsid w:val="008750A1"/>
    <w:rsid w:val="0088445A"/>
    <w:rsid w:val="00887C8D"/>
    <w:rsid w:val="008B0518"/>
    <w:rsid w:val="008C3B2E"/>
    <w:rsid w:val="008D1853"/>
    <w:rsid w:val="008E49BC"/>
    <w:rsid w:val="008F30C6"/>
    <w:rsid w:val="008F492A"/>
    <w:rsid w:val="008F797E"/>
    <w:rsid w:val="00931B99"/>
    <w:rsid w:val="00936B0A"/>
    <w:rsid w:val="00963966"/>
    <w:rsid w:val="00973110"/>
    <w:rsid w:val="009925B4"/>
    <w:rsid w:val="00994934"/>
    <w:rsid w:val="00995864"/>
    <w:rsid w:val="009A195F"/>
    <w:rsid w:val="009D527C"/>
    <w:rsid w:val="009E71BF"/>
    <w:rsid w:val="009F07D8"/>
    <w:rsid w:val="00A121A3"/>
    <w:rsid w:val="00A31F8A"/>
    <w:rsid w:val="00A33911"/>
    <w:rsid w:val="00A36492"/>
    <w:rsid w:val="00A4184D"/>
    <w:rsid w:val="00A42287"/>
    <w:rsid w:val="00A650F1"/>
    <w:rsid w:val="00A866D6"/>
    <w:rsid w:val="00AD04D2"/>
    <w:rsid w:val="00AE7EF9"/>
    <w:rsid w:val="00AF0BD3"/>
    <w:rsid w:val="00B1759C"/>
    <w:rsid w:val="00B20F20"/>
    <w:rsid w:val="00B41F16"/>
    <w:rsid w:val="00B6366C"/>
    <w:rsid w:val="00B65249"/>
    <w:rsid w:val="00B865D1"/>
    <w:rsid w:val="00B92554"/>
    <w:rsid w:val="00B95924"/>
    <w:rsid w:val="00BA7515"/>
    <w:rsid w:val="00BA777D"/>
    <w:rsid w:val="00BB3D98"/>
    <w:rsid w:val="00BB568C"/>
    <w:rsid w:val="00BC6383"/>
    <w:rsid w:val="00BD6E52"/>
    <w:rsid w:val="00BE12BC"/>
    <w:rsid w:val="00BF750B"/>
    <w:rsid w:val="00C236DE"/>
    <w:rsid w:val="00C75EBB"/>
    <w:rsid w:val="00C75EE6"/>
    <w:rsid w:val="00C858E9"/>
    <w:rsid w:val="00C86FC4"/>
    <w:rsid w:val="00C954D7"/>
    <w:rsid w:val="00CB42B0"/>
    <w:rsid w:val="00CB7C87"/>
    <w:rsid w:val="00CE5D29"/>
    <w:rsid w:val="00CF311D"/>
    <w:rsid w:val="00CF56EE"/>
    <w:rsid w:val="00CF7D76"/>
    <w:rsid w:val="00D00917"/>
    <w:rsid w:val="00D00C63"/>
    <w:rsid w:val="00D07782"/>
    <w:rsid w:val="00D10828"/>
    <w:rsid w:val="00D26AD4"/>
    <w:rsid w:val="00D41EB9"/>
    <w:rsid w:val="00DB4E8F"/>
    <w:rsid w:val="00DD4754"/>
    <w:rsid w:val="00DE21A2"/>
    <w:rsid w:val="00DF3568"/>
    <w:rsid w:val="00E03E22"/>
    <w:rsid w:val="00E073A5"/>
    <w:rsid w:val="00E40D43"/>
    <w:rsid w:val="00E44771"/>
    <w:rsid w:val="00E57362"/>
    <w:rsid w:val="00E85E1A"/>
    <w:rsid w:val="00EB064C"/>
    <w:rsid w:val="00ED6ECE"/>
    <w:rsid w:val="00ED77EB"/>
    <w:rsid w:val="00EE394F"/>
    <w:rsid w:val="00EE3A4A"/>
    <w:rsid w:val="00EF01E3"/>
    <w:rsid w:val="00EF0526"/>
    <w:rsid w:val="00F15339"/>
    <w:rsid w:val="00F23BF2"/>
    <w:rsid w:val="00F41F4E"/>
    <w:rsid w:val="00F469AC"/>
    <w:rsid w:val="00F47430"/>
    <w:rsid w:val="00F64741"/>
    <w:rsid w:val="00F778B8"/>
    <w:rsid w:val="00FA4984"/>
    <w:rsid w:val="00FB28DB"/>
    <w:rsid w:val="00FC4A8D"/>
    <w:rsid w:val="00FE4D83"/>
    <w:rsid w:val="00FF485D"/>
    <w:rsid w:val="04A97AA2"/>
    <w:rsid w:val="0E0647C1"/>
    <w:rsid w:val="11B36A74"/>
    <w:rsid w:val="13330EF8"/>
    <w:rsid w:val="14954B8D"/>
    <w:rsid w:val="1E98626E"/>
    <w:rsid w:val="1FC5345D"/>
    <w:rsid w:val="24066B84"/>
    <w:rsid w:val="2A2C6A7F"/>
    <w:rsid w:val="2A8D6045"/>
    <w:rsid w:val="2AC81B88"/>
    <w:rsid w:val="2CDD1E3C"/>
    <w:rsid w:val="330B4844"/>
    <w:rsid w:val="454066A1"/>
    <w:rsid w:val="46595453"/>
    <w:rsid w:val="512F1E22"/>
    <w:rsid w:val="58131D44"/>
    <w:rsid w:val="6B6C4F86"/>
    <w:rsid w:val="70221772"/>
    <w:rsid w:val="7A3922F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黑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Document Map"/>
    <w:basedOn w:val="1"/>
    <w:semiHidden/>
    <w:qFormat/>
    <w:uiPriority w:val="0"/>
    <w:pPr>
      <w:shd w:val="clear" w:color="auto" w:fill="000080"/>
    </w:pPr>
  </w:style>
  <w:style w:type="paragraph" w:styleId="3">
    <w:name w:val="Body Text Indent"/>
    <w:basedOn w:val="1"/>
    <w:link w:val="11"/>
    <w:qFormat/>
    <w:uiPriority w:val="0"/>
    <w:pPr>
      <w:ind w:firstLine="600"/>
    </w:pPr>
    <w:rPr>
      <w:rFonts w:ascii="宋体"/>
      <w:sz w:val="30"/>
      <w:szCs w:val="20"/>
    </w:rPr>
  </w:style>
  <w:style w:type="paragraph" w:styleId="4">
    <w:name w:val="Balloon Text"/>
    <w:basedOn w:val="1"/>
    <w:semiHidden/>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9">
    <w:name w:val="page number"/>
    <w:basedOn w:val="8"/>
    <w:qFormat/>
    <w:uiPriority w:val="0"/>
  </w:style>
  <w:style w:type="character" w:customStyle="1" w:styleId="10">
    <w:name w:val="Char Char"/>
    <w:basedOn w:val="8"/>
    <w:qFormat/>
    <w:uiPriority w:val="0"/>
    <w:rPr>
      <w:rFonts w:ascii="宋体" w:eastAsia="宋体"/>
      <w:kern w:val="2"/>
      <w:sz w:val="30"/>
      <w:lang w:val="en-US" w:eastAsia="zh-CN" w:bidi="ar-SA"/>
    </w:rPr>
  </w:style>
  <w:style w:type="character" w:customStyle="1" w:styleId="11">
    <w:name w:val="正文文本缩进 Char"/>
    <w:basedOn w:val="8"/>
    <w:link w:val="3"/>
    <w:qFormat/>
    <w:uiPriority w:val="0"/>
    <w:rPr>
      <w:rFonts w:ascii="宋体" w:eastAsia="宋体"/>
      <w:kern w:val="2"/>
      <w:sz w:val="30"/>
      <w:lang w:val="en-US" w:eastAsia="zh-CN" w:bidi="ar-SA"/>
    </w:rPr>
  </w:style>
  <w:style w:type="paragraph" w:customStyle="1" w:styleId="12">
    <w:name w:val="1 Char"/>
    <w:basedOn w:val="1"/>
    <w:qFormat/>
    <w:uiPriority w:val="0"/>
    <w:rPr>
      <w:sz w:val="24"/>
    </w:rPr>
  </w:style>
  <w:style w:type="paragraph" w:customStyle="1" w:styleId="13">
    <w:name w:val="永环书正文"/>
    <w:basedOn w:val="1"/>
    <w:qFormat/>
    <w:uiPriority w:val="0"/>
    <w:pPr>
      <w:spacing w:beforeLines="20" w:afterLines="20" w:line="360" w:lineRule="auto"/>
      <w:ind w:firstLine="200" w:firstLineChars="200"/>
    </w:pPr>
    <w:rPr>
      <w:sz w:val="24"/>
    </w:rPr>
  </w:style>
  <w:style w:type="paragraph" w:customStyle="1" w:styleId="14">
    <w:name w:val="正文小四"/>
    <w:qFormat/>
    <w:uiPriority w:val="0"/>
    <w:pPr>
      <w:ind w:firstLine="150" w:firstLineChars="150"/>
    </w:pPr>
    <w:rPr>
      <w:rFonts w:ascii="宋体" w:hAnsi="Times New Roman" w:eastAsia="宋体" w:cs="Times New Roman"/>
      <w:kern w:val="2"/>
      <w:sz w:val="24"/>
      <w:szCs w:val="24"/>
      <w:lang w:val="en-US" w:eastAsia="zh-CN" w:bidi="ar-SA"/>
    </w:rPr>
  </w:style>
  <w:style w:type="paragraph" w:customStyle="1" w:styleId="15">
    <w:name w:val="Char1"/>
    <w:basedOn w:val="1"/>
    <w:qFormat/>
    <w:uiPriority w:val="0"/>
    <w:pPr>
      <w:spacing w:line="360" w:lineRule="auto"/>
      <w:ind w:firstLine="200" w:firstLineChars="200"/>
    </w:pPr>
    <w:rPr>
      <w:rFonts w:ascii="宋体" w:cs="宋体"/>
      <w:sz w:val="24"/>
    </w:rPr>
  </w:style>
  <w:style w:type="paragraph" w:customStyle="1" w:styleId="16">
    <w:name w:val="Char Char Char"/>
    <w:basedOn w:val="2"/>
    <w:qFormat/>
    <w:uiPriority w:val="0"/>
    <w:pPr>
      <w:adjustRightInd w:val="0"/>
      <w:spacing w:line="436" w:lineRule="exact"/>
      <w:ind w:left="357"/>
      <w:jc w:val="left"/>
      <w:outlineLvl w:val="3"/>
    </w:pPr>
    <w:rPr>
      <w:rFonts w:ascii="Tahoma" w:hAnsi="Tahoma"/>
      <w:b/>
      <w:sz w:val="44"/>
    </w:rPr>
  </w:style>
  <w:style w:type="paragraph" w:styleId="17">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317</Words>
  <Characters>1811</Characters>
  <Lines>15</Lines>
  <Paragraphs>4</Paragraphs>
  <TotalTime>140</TotalTime>
  <ScaleCrop>false</ScaleCrop>
  <LinksUpToDate>false</LinksUpToDate>
  <CharactersWithSpaces>2124</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2018-05-14T02:10:00Z</dcterms:created>
  <dc:creator>微软用户</dc:creator>
  <cp:lastModifiedBy>Administrator</cp:lastModifiedBy>
  <cp:lastPrinted>2019-11-14T07:04:00Z</cp:lastPrinted>
  <dcterms:modified xsi:type="dcterms:W3CDTF">2020-06-22T03:30:30Z</dcterms:modified>
  <dc:title>永环评[2012] 号</dc:title>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