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600" w:lineRule="exact"/>
        <w:jc w:val="center"/>
        <w:rPr>
          <w:rFonts w:ascii="??_GB2312" w:eastAsia="Times New Roman" w:cs="??_GB2312"/>
          <w:color w:val="000000" w:themeColor="text1"/>
          <w:sz w:val="32"/>
          <w:szCs w:val="32"/>
          <w:lang w:val="zh-CN"/>
          <w14:textFill>
            <w14:solidFill>
              <w14:schemeClr w14:val="tx1"/>
            </w14:solidFill>
          </w14:textFill>
        </w:rPr>
      </w:pPr>
    </w:p>
    <w:p>
      <w:pPr>
        <w:adjustRightInd w:val="0"/>
        <w:snapToGrid w:val="0"/>
        <w:spacing w:line="600" w:lineRule="exact"/>
        <w:jc w:val="center"/>
        <w:rPr>
          <w:rFonts w:ascii="??_GB2312" w:eastAsia="Times New Roman" w:cs="??_GB2312"/>
          <w:color w:val="000000" w:themeColor="text1"/>
          <w:sz w:val="32"/>
          <w:szCs w:val="32"/>
          <w:lang w:val="zh-CN"/>
          <w14:textFill>
            <w14:solidFill>
              <w14:schemeClr w14:val="tx1"/>
            </w14:solidFill>
          </w14:textFill>
        </w:rPr>
      </w:pPr>
    </w:p>
    <w:p>
      <w:pPr>
        <w:adjustRightInd w:val="0"/>
        <w:snapToGrid w:val="0"/>
        <w:spacing w:line="600" w:lineRule="exact"/>
        <w:jc w:val="center"/>
        <w:rPr>
          <w:rFonts w:ascii="??_GB2312" w:eastAsia="Times New Roman" w:cs="??_GB2312"/>
          <w:color w:val="000000" w:themeColor="text1"/>
          <w:sz w:val="32"/>
          <w:szCs w:val="32"/>
          <w:lang w:val="zh-CN"/>
          <w14:textFill>
            <w14:solidFill>
              <w14:schemeClr w14:val="tx1"/>
            </w14:solidFill>
          </w14:textFill>
        </w:rPr>
      </w:pPr>
    </w:p>
    <w:p>
      <w:pPr>
        <w:adjustRightInd w:val="0"/>
        <w:snapToGrid w:val="0"/>
        <w:spacing w:line="600" w:lineRule="exact"/>
        <w:jc w:val="center"/>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s="??_GB2312"/>
          <w:color w:val="000000" w:themeColor="text1"/>
          <w:sz w:val="32"/>
          <w:szCs w:val="32"/>
          <w:lang w:val="zh-CN"/>
          <w14:textFill>
            <w14:solidFill>
              <w14:schemeClr w14:val="tx1"/>
            </w14:solidFill>
          </w14:textFill>
        </w:rPr>
        <w:t>永环评〔</w:t>
      </w:r>
      <w:r>
        <w:rPr>
          <w:rFonts w:ascii="仿宋_GB2312" w:hAnsi="仿宋" w:eastAsia="仿宋_GB2312" w:cs="??_GB2312"/>
          <w:color w:val="000000" w:themeColor="text1"/>
          <w:sz w:val="32"/>
          <w:szCs w:val="32"/>
          <w:lang w:val="zh-CN"/>
          <w14:textFill>
            <w14:solidFill>
              <w14:schemeClr w14:val="tx1"/>
            </w14:solidFill>
          </w14:textFill>
        </w:rPr>
        <w:t>2020</w:t>
      </w:r>
      <w:r>
        <w:rPr>
          <w:rFonts w:hint="eastAsia" w:ascii="仿宋_GB2312" w:hAnsi="仿宋" w:eastAsia="仿宋_GB2312" w:cs="??_GB2312"/>
          <w:color w:val="000000" w:themeColor="text1"/>
          <w:sz w:val="32"/>
          <w:szCs w:val="32"/>
          <w:lang w:val="zh-CN"/>
          <w14:textFill>
            <w14:solidFill>
              <w14:schemeClr w14:val="tx1"/>
            </w14:solidFill>
          </w14:textFill>
        </w:rPr>
        <w:t>〕20号</w:t>
      </w:r>
    </w:p>
    <w:p>
      <w:pPr>
        <w:adjustRightInd w:val="0"/>
        <w:snapToGrid w:val="0"/>
        <w:spacing w:line="600" w:lineRule="exact"/>
        <w:rPr>
          <w:rFonts w:ascii="仿宋" w:hAnsi="仿宋" w:eastAsia="仿宋"/>
          <w:b/>
          <w:bCs/>
          <w:color w:val="000000" w:themeColor="text1"/>
          <w:sz w:val="32"/>
          <w:szCs w:val="32"/>
          <w14:textFill>
            <w14:solidFill>
              <w14:schemeClr w14:val="tx1"/>
            </w14:solidFill>
          </w14:textFill>
        </w:rPr>
      </w:pPr>
    </w:p>
    <w:p>
      <w:pPr>
        <w:spacing w:line="580" w:lineRule="exact"/>
        <w:jc w:val="center"/>
        <w:rPr>
          <w:rFonts w:ascii="宋体" w:hAnsi="宋体" w:cs="黑体"/>
          <w:b/>
          <w:bCs/>
          <w:color w:val="000000" w:themeColor="text1"/>
          <w:sz w:val="40"/>
          <w:szCs w:val="40"/>
          <w:lang w:val="en-GB"/>
          <w14:textFill>
            <w14:solidFill>
              <w14:schemeClr w14:val="tx1"/>
            </w14:solidFill>
          </w14:textFill>
        </w:rPr>
      </w:pPr>
      <w:r>
        <w:rPr>
          <w:rFonts w:hint="eastAsia" w:ascii="宋体" w:hAnsi="宋体" w:cs="黑体"/>
          <w:b/>
          <w:bCs/>
          <w:color w:val="000000" w:themeColor="text1"/>
          <w:sz w:val="40"/>
          <w:szCs w:val="40"/>
          <w:lang w:val="zh-CN"/>
          <w14:textFill>
            <w14:solidFill>
              <w14:schemeClr w14:val="tx1"/>
            </w14:solidFill>
          </w14:textFill>
        </w:rPr>
        <w:t>关于</w:t>
      </w:r>
      <w:bookmarkStart w:id="0" w:name="_Hlk45612367"/>
      <w:r>
        <w:rPr>
          <w:rFonts w:hint="eastAsia" w:ascii="宋体" w:hAnsi="宋体" w:cs="黑体"/>
          <w:b/>
          <w:bCs/>
          <w:color w:val="000000" w:themeColor="text1"/>
          <w:sz w:val="40"/>
          <w:szCs w:val="40"/>
          <w:lang w:val="en-GB"/>
          <w14:textFill>
            <w14:solidFill>
              <w14:schemeClr w14:val="tx1"/>
            </w14:solidFill>
          </w14:textFill>
        </w:rPr>
        <w:t>永州市九嶷骄阳水泥有限责任公司</w:t>
      </w:r>
      <w:bookmarkEnd w:id="0"/>
    </w:p>
    <w:p>
      <w:pPr>
        <w:spacing w:line="580" w:lineRule="exact"/>
        <w:jc w:val="center"/>
        <w:rPr>
          <w:rFonts w:hint="eastAsia" w:ascii="宋体" w:hAnsi="宋体" w:cs="黑体"/>
          <w:b/>
          <w:bCs/>
          <w:color w:val="000000" w:themeColor="text1"/>
          <w:sz w:val="40"/>
          <w:szCs w:val="40"/>
          <w:lang w:val="en-GB"/>
          <w14:textFill>
            <w14:solidFill>
              <w14:schemeClr w14:val="tx1"/>
            </w14:solidFill>
          </w14:textFill>
        </w:rPr>
      </w:pPr>
      <w:bookmarkStart w:id="1" w:name="_Hlk45612381"/>
      <w:r>
        <w:rPr>
          <w:rFonts w:hint="eastAsia" w:ascii="宋体" w:hAnsi="宋体" w:cs="黑体"/>
          <w:b/>
          <w:bCs/>
          <w:color w:val="000000" w:themeColor="text1"/>
          <w:sz w:val="40"/>
          <w:szCs w:val="40"/>
          <w:lang w:val="en-GB"/>
          <w14:textFill>
            <w14:solidFill>
              <w14:schemeClr w14:val="tx1"/>
            </w14:solidFill>
          </w14:textFill>
        </w:rPr>
        <w:t>水泥窑协同处置一般工业固体废物（硫酸锰渣、</w:t>
      </w:r>
    </w:p>
    <w:p>
      <w:pPr>
        <w:spacing w:line="580" w:lineRule="exact"/>
        <w:jc w:val="center"/>
        <w:rPr>
          <w:rFonts w:ascii="宋体" w:cs="黑体"/>
          <w:b/>
          <w:bCs/>
          <w:color w:val="000000" w:themeColor="text1"/>
          <w:sz w:val="40"/>
          <w:szCs w:val="40"/>
          <w:lang w:val="en-GB"/>
          <w14:textFill>
            <w14:solidFill>
              <w14:schemeClr w14:val="tx1"/>
            </w14:solidFill>
          </w14:textFill>
        </w:rPr>
      </w:pPr>
      <w:r>
        <w:rPr>
          <w:rFonts w:hint="eastAsia" w:ascii="宋体" w:hAnsi="宋体" w:cs="黑体"/>
          <w:b/>
          <w:bCs/>
          <w:color w:val="000000" w:themeColor="text1"/>
          <w:sz w:val="40"/>
          <w:szCs w:val="40"/>
          <w:lang w:val="en-GB"/>
          <w14:textFill>
            <w14:solidFill>
              <w14:schemeClr w14:val="tx1"/>
            </w14:solidFill>
          </w14:textFill>
        </w:rPr>
        <w:t>白泥）项目</w:t>
      </w:r>
      <w:bookmarkEnd w:id="1"/>
      <w:r>
        <w:rPr>
          <w:rFonts w:hint="eastAsia" w:ascii="宋体" w:hAnsi="宋体"/>
          <w:b/>
          <w:color w:val="000000" w:themeColor="text1"/>
          <w:sz w:val="40"/>
          <w:szCs w:val="40"/>
          <w14:textFill>
            <w14:solidFill>
              <w14:schemeClr w14:val="tx1"/>
            </w14:solidFill>
          </w14:textFill>
        </w:rPr>
        <w:t>环境影响报告书</w:t>
      </w:r>
      <w:r>
        <w:rPr>
          <w:rFonts w:hint="eastAsia" w:ascii="宋体" w:hAnsi="宋体" w:cs="黑体"/>
          <w:b/>
          <w:bCs/>
          <w:color w:val="000000" w:themeColor="text1"/>
          <w:sz w:val="40"/>
          <w:szCs w:val="40"/>
          <w:lang w:val="zh-CN"/>
          <w14:textFill>
            <w14:solidFill>
              <w14:schemeClr w14:val="tx1"/>
            </w14:solidFill>
          </w14:textFill>
        </w:rPr>
        <w:t>的批复</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spacing w:line="600" w:lineRule="exact"/>
        <w:textAlignment w:val="auto"/>
        <w:rPr>
          <w:rFonts w:ascii="仿宋_GB2312" w:hAnsi="仿宋_GB2312" w:eastAsia="仿宋_GB2312" w:cs="仿宋_GB2312"/>
          <w:color w:val="000000" w:themeColor="text1"/>
          <w:sz w:val="32"/>
          <w:szCs w:val="32"/>
          <w:lang w:val="zh-CN"/>
          <w14:textFill>
            <w14:solidFill>
              <w14:schemeClr w14:val="tx1"/>
            </w14:solidFill>
          </w14:textFill>
        </w:rPr>
      </w:pPr>
      <w:bookmarkStart w:id="2" w:name="_Hlk45612722"/>
      <w:r>
        <w:rPr>
          <w:rFonts w:hint="eastAsia" w:ascii="仿宋_GB2312" w:hAnsi="仿宋_GB2312" w:eastAsia="仿宋_GB2312" w:cs="仿宋_GB2312"/>
          <w:color w:val="000000" w:themeColor="text1"/>
          <w:sz w:val="32"/>
          <w:szCs w:val="32"/>
          <w14:textFill>
            <w14:solidFill>
              <w14:schemeClr w14:val="tx1"/>
            </w14:solidFill>
          </w14:textFill>
        </w:rPr>
        <w:t>永州市九嶷骄阳水泥有限责任公司</w:t>
      </w:r>
      <w:bookmarkEnd w:id="2"/>
      <w:r>
        <w:rPr>
          <w:rFonts w:hint="eastAsia" w:ascii="仿宋_GB2312" w:hAnsi="仿宋_GB2312" w:eastAsia="仿宋_GB2312" w:cs="仿宋_GB2312"/>
          <w:color w:val="000000" w:themeColor="text1"/>
          <w:sz w:val="32"/>
          <w:szCs w:val="32"/>
          <w:lang w:val="zh-CN"/>
          <w14:textFill>
            <w14:solidFill>
              <w14:schemeClr w14:val="tx1"/>
            </w14:solidFill>
          </w14:textFill>
        </w:rPr>
        <w:t>：</w:t>
      </w:r>
    </w:p>
    <w:p>
      <w:pPr>
        <w:pStyle w:val="17"/>
        <w:keepNext w:val="0"/>
        <w:keepLines w:val="0"/>
        <w:pageBreakBefore w:val="0"/>
        <w:widowControl w:val="0"/>
        <w:kinsoku/>
        <w:wordWrap/>
        <w:overflowPunct/>
        <w:topLinePunct w:val="0"/>
        <w:autoSpaceDE/>
        <w:autoSpaceDN/>
        <w:bidi w:val="0"/>
        <w:spacing w:beforeLines="0" w:afterLines="0" w:line="600" w:lineRule="exact"/>
        <w:ind w:firstLine="64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你公司关于申请水泥窑协同处置一般工业固体废物（硫酸锰渣、白泥）项目环评报告批复的函及相关附件已收悉，经研究，现批复如下：</w:t>
      </w:r>
    </w:p>
    <w:p>
      <w:pPr>
        <w:pStyle w:val="17"/>
        <w:keepNext w:val="0"/>
        <w:keepLines w:val="0"/>
        <w:pageBreakBefore w:val="0"/>
        <w:widowControl w:val="0"/>
        <w:kinsoku/>
        <w:wordWrap/>
        <w:overflowPunct/>
        <w:topLinePunct w:val="0"/>
        <w:autoSpaceDE/>
        <w:autoSpaceDN/>
        <w:bidi w:val="0"/>
        <w:spacing w:beforeLines="0" w:afterLines="0" w:line="600" w:lineRule="exact"/>
        <w:ind w:firstLine="64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一、永州市九嶷骄阳水泥有限责任公司拟利用永州市九嶷骄阳水泥有限责任公司已投产的一条</w:t>
      </w:r>
      <w:r>
        <w:rPr>
          <w:rFonts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500t/d新型干法水泥熟料生产线建设水泥窑协同处置一般工业固废项目（硫酸锰渣和白泥）,处置规模为</w:t>
      </w:r>
      <w:r>
        <w:rPr>
          <w:rFonts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万t/a（近期为硫酸锰渣和白泥，远期全部为硫酸锰渣）。项目位于永州经济技术开发区仁湾镇黄甸村永州市九嶷骄阳水泥有限责任公司厂区内，不新增用地，总投资</w:t>
      </w:r>
      <w:r>
        <w:rPr>
          <w:rFonts w:ascii="仿宋_GB2312" w:hAnsi="仿宋_GB2312" w:eastAsia="仿宋_GB2312" w:cs="仿宋_GB2312"/>
          <w:color w:val="000000" w:themeColor="text1"/>
          <w:sz w:val="32"/>
          <w:szCs w:val="32"/>
          <w14:textFill>
            <w14:solidFill>
              <w14:schemeClr w14:val="tx1"/>
            </w14:solidFill>
          </w14:textFill>
        </w:rPr>
        <w:t>30</w:t>
      </w:r>
      <w:r>
        <w:rPr>
          <w:rFonts w:hint="eastAsia" w:ascii="仿宋_GB2312" w:hAnsi="仿宋_GB2312" w:eastAsia="仿宋_GB2312" w:cs="仿宋_GB2312"/>
          <w:color w:val="000000" w:themeColor="text1"/>
          <w:sz w:val="32"/>
          <w:szCs w:val="32"/>
          <w14:textFill>
            <w14:solidFill>
              <w14:schemeClr w14:val="tx1"/>
            </w14:solidFill>
          </w14:textFill>
        </w:rPr>
        <w:t>00万元（环保投资</w:t>
      </w:r>
      <w:r>
        <w:rPr>
          <w:rFonts w:ascii="仿宋_GB2312" w:hAnsi="仿宋_GB2312" w:eastAsia="仿宋_GB2312" w:cs="仿宋_GB2312"/>
          <w:color w:val="000000" w:themeColor="text1"/>
          <w:sz w:val="32"/>
          <w:szCs w:val="32"/>
          <w14:textFill>
            <w14:solidFill>
              <w14:schemeClr w14:val="tx1"/>
            </w14:solidFill>
          </w14:textFill>
        </w:rPr>
        <w:t>62</w:t>
      </w:r>
      <w:r>
        <w:rPr>
          <w:rFonts w:hint="eastAsia" w:ascii="仿宋_GB2312" w:hAnsi="仿宋_GB2312" w:eastAsia="仿宋_GB2312" w:cs="仿宋_GB2312"/>
          <w:color w:val="000000" w:themeColor="text1"/>
          <w:sz w:val="32"/>
          <w:szCs w:val="32"/>
          <w14:textFill>
            <w14:solidFill>
              <w14:schemeClr w14:val="tx1"/>
            </w14:solidFill>
          </w14:textFill>
        </w:rPr>
        <w:t>万元，占总投资的</w:t>
      </w:r>
      <w:r>
        <w:rPr>
          <w:rFonts w:ascii="仿宋_GB2312" w:hAnsi="仿宋_GB2312" w:eastAsia="仿宋_GB2312" w:cs="仿宋_GB2312"/>
          <w:color w:val="000000" w:themeColor="text1"/>
          <w:sz w:val="32"/>
          <w:szCs w:val="32"/>
          <w14:textFill>
            <w14:solidFill>
              <w14:schemeClr w14:val="tx1"/>
            </w14:solidFill>
          </w14:textFill>
        </w:rPr>
        <w:t>2.07</w:t>
      </w:r>
      <w:r>
        <w:rPr>
          <w:rFonts w:hint="eastAsia" w:ascii="仿宋_GB2312" w:hAnsi="仿宋_GB2312" w:eastAsia="仿宋_GB2312" w:cs="仿宋_GB2312"/>
          <w:color w:val="000000" w:themeColor="text1"/>
          <w:sz w:val="32"/>
          <w:szCs w:val="32"/>
          <w14:textFill>
            <w14:solidFill>
              <w14:schemeClr w14:val="tx1"/>
            </w14:solidFill>
          </w14:textFill>
        </w:rPr>
        <w:t>%），主要工程内容包括：固废车间（接收、贮存系统）、固废投加系统、环保工程等，建成后不增加熟料和水泥的产能</w:t>
      </w:r>
      <w:r>
        <w:rPr>
          <w:rFonts w:hint="eastAsia" w:ascii="仿宋_GB2312" w:hAnsi="仿宋_GB2312" w:eastAsia="仿宋_GB2312" w:cs="仿宋_GB2312"/>
          <w:color w:val="000000" w:themeColor="text1"/>
          <w:sz w:val="32"/>
          <w:szCs w:val="32"/>
          <w:lang w:val="en-GB"/>
          <w14:textFill>
            <w14:solidFill>
              <w14:schemeClr w14:val="tx1"/>
            </w14:solidFill>
          </w14:textFill>
        </w:rPr>
        <w:t>。</w:t>
      </w:r>
    </w:p>
    <w:p>
      <w:pPr>
        <w:pStyle w:val="17"/>
        <w:keepNext w:val="0"/>
        <w:keepLines w:val="0"/>
        <w:pageBreakBefore w:val="0"/>
        <w:widowControl w:val="0"/>
        <w:kinsoku/>
        <w:wordWrap/>
        <w:overflowPunct/>
        <w:topLinePunct w:val="0"/>
        <w:autoSpaceDE/>
        <w:autoSpaceDN/>
        <w:bidi w:val="0"/>
        <w:spacing w:beforeLines="0" w:afterLines="0" w:line="600" w:lineRule="exact"/>
        <w:ind w:firstLine="640"/>
        <w:textAlignment w:val="auto"/>
        <w:rPr>
          <w:rFonts w:ascii="仿宋_GB2312" w:hAnsi="仿宋_GB2312" w:eastAsia="仿宋_GB2312" w:cs="仿宋_GB2312"/>
          <w:color w:val="000000" w:themeColor="text1"/>
          <w:kern w:val="32"/>
          <w:sz w:val="32"/>
          <w:szCs w:val="32"/>
          <w14:textFill>
            <w14:solidFill>
              <w14:schemeClr w14:val="tx1"/>
            </w14:solidFill>
          </w14:textFill>
        </w:rPr>
      </w:pPr>
      <w:r>
        <w:rPr>
          <w:rFonts w:hint="eastAsia" w:ascii="仿宋_GB2312" w:hAnsi="仿宋_GB2312" w:eastAsia="仿宋_GB2312" w:cs="仿宋_GB2312"/>
          <w:color w:val="000000" w:themeColor="text1"/>
          <w:kern w:val="32"/>
          <w:sz w:val="32"/>
          <w:szCs w:val="32"/>
          <w14:textFill>
            <w14:solidFill>
              <w14:schemeClr w14:val="tx1"/>
            </w14:solidFill>
          </w14:textFill>
        </w:rPr>
        <w:t>根据环评报告分析结论和永州经济技术开发区环保局预审意见，在建设单位严格落实环评报告和本批复提出的各项环保要求及环境影响减缓措施，确保污染物达标排放的前提下，依据《中华人民共和国环境影响评价法》第二十二条等规定，</w:t>
      </w:r>
      <w:r>
        <w:rPr>
          <w:rFonts w:hint="eastAsia" w:ascii="仿宋_GB2312" w:hAnsi="仿宋_GB2312" w:eastAsia="仿宋_GB2312" w:cs="仿宋_GB2312"/>
          <w:bCs/>
          <w:color w:val="000000" w:themeColor="text1"/>
          <w:kern w:val="32"/>
          <w:sz w:val="32"/>
          <w:szCs w:val="32"/>
          <w14:textFill>
            <w14:solidFill>
              <w14:schemeClr w14:val="tx1"/>
            </w14:solidFill>
          </w14:textFill>
        </w:rPr>
        <w:t>从环保角度分析，我局同意</w:t>
      </w:r>
      <w:r>
        <w:rPr>
          <w:rFonts w:hint="eastAsia" w:ascii="仿宋_GB2312" w:hAnsi="仿宋_GB2312" w:eastAsia="仿宋_GB2312" w:cs="仿宋_GB2312"/>
          <w:color w:val="000000" w:themeColor="text1"/>
          <w:kern w:val="32"/>
          <w:sz w:val="32"/>
          <w:szCs w:val="32"/>
          <w14:textFill>
            <w14:solidFill>
              <w14:schemeClr w14:val="tx1"/>
            </w14:solidFill>
          </w14:textFill>
        </w:rPr>
        <w:t>该项目</w:t>
      </w:r>
      <w:r>
        <w:rPr>
          <w:rFonts w:hint="eastAsia" w:ascii="仿宋_GB2312" w:hAnsi="仿宋_GB2312" w:eastAsia="仿宋_GB2312" w:cs="仿宋_GB2312"/>
          <w:bCs/>
          <w:color w:val="000000" w:themeColor="text1"/>
          <w:kern w:val="32"/>
          <w:sz w:val="32"/>
          <w:szCs w:val="32"/>
          <w14:textFill>
            <w14:solidFill>
              <w14:schemeClr w14:val="tx1"/>
            </w14:solidFill>
          </w14:textFill>
        </w:rPr>
        <w:t>建设</w:t>
      </w:r>
      <w:r>
        <w:rPr>
          <w:rFonts w:hint="eastAsia" w:ascii="仿宋_GB2312" w:hAnsi="仿宋_GB2312" w:eastAsia="仿宋_GB2312" w:cs="仿宋_GB2312"/>
          <w:color w:val="000000" w:themeColor="text1"/>
          <w:kern w:val="32"/>
          <w:sz w:val="32"/>
          <w:szCs w:val="32"/>
          <w14:textFill>
            <w14:solidFill>
              <w14:schemeClr w14:val="tx1"/>
            </w14:solidFill>
          </w14:textFill>
        </w:rPr>
        <w:t>。本批复及有关附件是该项目环保审批的法律文件。自批复之日起超过5年方开工建设的，或改变项目性质、规模、地点、工艺、环境保护措施，必须依法重新报批。</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二、建设单位在项目设计、建设和运行期间，</w:t>
      </w:r>
      <w:r>
        <w:rPr>
          <w:rFonts w:hint="eastAsia" w:ascii="仿宋_GB2312" w:hAnsi="仿宋_GB2312" w:eastAsia="仿宋_GB2312" w:cs="仿宋_GB2312"/>
          <w:bCs/>
          <w:color w:val="000000" w:themeColor="text1"/>
          <w:sz w:val="32"/>
          <w:szCs w:val="32"/>
          <w14:textFill>
            <w14:solidFill>
              <w14:schemeClr w14:val="tx1"/>
            </w14:solidFill>
          </w14:textFill>
        </w:rPr>
        <w:t>必须严格执行环保“三同时”制度，</w:t>
      </w:r>
      <w:r>
        <w:rPr>
          <w:rFonts w:hint="eastAsia" w:ascii="仿宋_GB2312" w:hAnsi="仿宋_GB2312" w:eastAsia="仿宋_GB2312" w:cs="仿宋_GB2312"/>
          <w:color w:val="000000" w:themeColor="text1"/>
          <w:sz w:val="32"/>
          <w:szCs w:val="32"/>
          <w14:textFill>
            <w14:solidFill>
              <w14:schemeClr w14:val="tx1"/>
            </w14:solidFill>
          </w14:textFill>
        </w:rPr>
        <w:t>并着重做好以下工作：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w:t>
      </w:r>
      <w:r>
        <w:rPr>
          <w:rFonts w:hint="eastAsia" w:ascii="仿宋_GB2312" w:hAnsi="仿宋_GB2312" w:eastAsia="仿宋_GB2312" w:cs="仿宋_GB2312"/>
          <w:color w:val="000000" w:themeColor="text1"/>
          <w:sz w:val="32"/>
          <w:szCs w:val="32"/>
          <w:lang w:val="zh-CN"/>
          <w14:textFill>
            <w14:solidFill>
              <w14:schemeClr w14:val="tx1"/>
            </w14:solidFill>
          </w14:textFill>
        </w:rPr>
        <w:t>相关政策要求。</w:t>
      </w:r>
      <w:r>
        <w:rPr>
          <w:rFonts w:hint="eastAsia" w:ascii="仿宋_GB2312" w:hAnsi="仿宋_GB2312" w:eastAsia="仿宋_GB2312" w:cs="仿宋_GB2312"/>
          <w:color w:val="000000" w:themeColor="text1"/>
          <w:sz w:val="32"/>
          <w:szCs w:val="32"/>
          <w14:textFill>
            <w14:solidFill>
              <w14:schemeClr w14:val="tx1"/>
            </w14:solidFill>
          </w14:textFill>
        </w:rPr>
        <w:t>项目应按照清洁生产要求，采用国内外先进的生产设备和工艺，提高资源利用率，降低能耗、物耗和水耗，从源头上控制污染物产生，选用工艺成熟、可靠的污染治理技术和设施，确保各项污染物稳定达标排放，清洁生产达到国内先进水平。落实好各项安全措施，避免因安全问题引发次生环境问题。按照国家《环境保护图形标志》（GB15562.1-2-95）的规定，设置国家环保部统一制作的环境保护图形标志牌。</w:t>
      </w:r>
      <w:r>
        <w:rPr>
          <w:rFonts w:eastAsia="仿宋_GB2312"/>
          <w:bCs/>
          <w:color w:val="000000" w:themeColor="text1"/>
          <w:sz w:val="32"/>
          <w:szCs w:val="32"/>
          <w14:textFill>
            <w14:solidFill>
              <w14:schemeClr w14:val="tx1"/>
            </w14:solidFill>
          </w14:textFill>
        </w:rPr>
        <w:t>应严格限制项目厂址周边土地使用性质，对项目所在地周边区域进行合理规划，避免在</w:t>
      </w:r>
      <w:r>
        <w:rPr>
          <w:rFonts w:eastAsia="仿宋_GB2312"/>
          <w:color w:val="000000" w:themeColor="text1"/>
          <w:sz w:val="32"/>
          <w:szCs w:val="32"/>
          <w14:textFill>
            <w14:solidFill>
              <w14:schemeClr w14:val="tx1"/>
            </w14:solidFill>
          </w14:textFill>
        </w:rPr>
        <w:t>厂界周边新建医院、学校、集中居民区、行政办公和科研等环境敏感目标</w:t>
      </w:r>
      <w:r>
        <w:rPr>
          <w:rFonts w:hint="eastAsia" w:ascii="仿宋_GB2312" w:hAnsi="仿宋_GB2312" w:eastAsia="仿宋_GB2312" w:cs="仿宋_GB2312"/>
          <w:color w:val="000000" w:themeColor="text1"/>
          <w:sz w:val="32"/>
          <w:szCs w:val="32"/>
          <w14:textFill>
            <w14:solidFill>
              <w14:schemeClr w14:val="tx1"/>
            </w14:solidFill>
          </w14:textFill>
        </w:rPr>
        <w:t>。禁止处置危险废物和生活垃圾，满足《水泥窑协同处置固体废物环境保护技术规范》（HJ662-2013）相关要求。公司应根据项目投运后的环境影响实际情况，适时开展该项目的环境影响后评价工作，针对存在的环境问题，进一步强化环保措施，以消除对环境的不良影响。</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废水污染防治。项目不新增生活污水，事故情况下收集的渗滤液全部通过高压泵泵入窑内高温处置，不外排。</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废气污染防治。严格大气污染防治措施。对有组织、无组织废气的收集、处理等环保措施，按环评报告的要求进行调整，确保有组织废气排放达到《水泥窑协同处置固体废物污染控制标准》（GB30485-2013）排放限值要求。窑尾烟气在线监控装置须稳定运行并与环保部门联网。</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噪声污染防治。选用低噪声设备，合理调整车间内平面布局，并采取消声、隔声等措施，确保厂界噪声达到《工业企业厂界环境噪声排放标准》（GB12348—2008）标准。合理安排各类机械、生产设备和运输车辆的工作时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固体废物处置。按照分类收集和综合利用的原则，妥善处理处置各类固体废物，防止造成二次污染。固废主车间应符合《水泥窑协同处置固体废物污染物控制标准》（GB30485-2013）相关要求。危险废物、一般工业固体废物在厂内暂存应分别符合《危险废物贮存污染控制标准》（GB18579-2001）（2013年修订）、《一般工业固体废物贮存、处置场污染控制标准》（GB18599-2001）（2013年修订）的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（六）生态环境保护。科学规划，合理布局，注重绿化，维护区域生态环境质量。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环境风险防范。针对可能发生的突发环境事件，建立应急联动机制和环境风险事故应急预案，强化应急教育和应急演练，防止发生事故造成的次生环境危害。科学布设预警设施、事故应急设施（物料泄漏截流设施、风险事故池等），配套拦污、切换等处理设施，防止非正常工况和事故状态下环境风险排放。建立健全企业内部环境管理机制和环保规章制度，落实岗位环保责任制。加强其日常运行及维护管理，关键设备及零部件应配备足够的备用件，保证污染治理设施的稳定运行，确保各类污染物稳定达标排放。避免因管理不善、违章操作等人为因素造成污染事故和纠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八）维护社会稳定。地方政府和项目业主作为责任主体，要按照社会风险评估的相关要求，做好社会风险防范与化解工作。要加强对项目附近环境敏感点的环境保护，处理好与周边的关系，防止因环保诉求而引发矛盾，自觉维护社会稳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eastAsia="仿宋_GB2312"/>
          <w:bCs/>
          <w:color w:val="000000" w:themeColor="text1"/>
          <w:sz w:val="32"/>
          <w:szCs w:val="32"/>
          <w14:textFill>
            <w14:solidFill>
              <w14:schemeClr w14:val="tx1"/>
            </w14:solidFill>
          </w14:textFill>
        </w:rPr>
      </w:pPr>
      <w:r>
        <w:rPr>
          <w:rFonts w:eastAsia="仿宋_GB2312"/>
          <w:color w:val="000000" w:themeColor="text1"/>
          <w:sz w:val="32"/>
          <w:szCs w:val="32"/>
          <w:lang w:val="zh-CN"/>
          <w14:textFill>
            <w14:solidFill>
              <w14:schemeClr w14:val="tx1"/>
            </w14:solidFill>
          </w14:textFill>
        </w:rPr>
        <w:t>（九）</w:t>
      </w:r>
      <w:r>
        <w:rPr>
          <w:rFonts w:hint="eastAsia" w:eastAsia="仿宋_GB2312"/>
          <w:bCs/>
          <w:color w:val="000000" w:themeColor="text1"/>
          <w:sz w:val="32"/>
          <w:szCs w:val="32"/>
          <w:lang w:val="zh-CN"/>
          <w14:textFill>
            <w14:solidFill>
              <w14:schemeClr w14:val="tx1"/>
            </w14:solidFill>
          </w14:textFill>
        </w:rPr>
        <w:t>加强环保管理</w:t>
      </w:r>
      <w:r>
        <w:rPr>
          <w:rFonts w:eastAsia="仿宋_GB2312"/>
          <w:bCs/>
          <w:color w:val="000000" w:themeColor="text1"/>
          <w:sz w:val="32"/>
          <w:szCs w:val="32"/>
          <w:lang w:val="zh-CN"/>
          <w14:textFill>
            <w14:solidFill>
              <w14:schemeClr w14:val="tx1"/>
            </w14:solidFill>
          </w14:textFill>
        </w:rPr>
        <w:t>。</w:t>
      </w:r>
      <w:r>
        <w:rPr>
          <w:rFonts w:eastAsia="仿宋_GB2312"/>
          <w:color w:val="000000" w:themeColor="text1"/>
          <w:sz w:val="32"/>
          <w:szCs w:val="32"/>
          <w14:textFill>
            <w14:solidFill>
              <w14:schemeClr w14:val="tx1"/>
            </w14:solidFill>
          </w14:textFill>
        </w:rPr>
        <w:t>项目投入运营前</w:t>
      </w:r>
      <w:r>
        <w:rPr>
          <w:rFonts w:hint="eastAsia" w:eastAsia="仿宋_GB2312"/>
          <w:color w:val="000000" w:themeColor="text1"/>
          <w:sz w:val="32"/>
          <w:szCs w:val="32"/>
          <w14:textFill>
            <w14:solidFill>
              <w14:schemeClr w14:val="tx1"/>
            </w14:solidFill>
          </w14:textFill>
        </w:rPr>
        <w:t>应按要求变更</w:t>
      </w:r>
      <w:r>
        <w:rPr>
          <w:rFonts w:eastAsia="仿宋_GB2312"/>
          <w:color w:val="000000" w:themeColor="text1"/>
          <w:sz w:val="32"/>
          <w:szCs w:val="32"/>
          <w14:textFill>
            <w14:solidFill>
              <w14:schemeClr w14:val="tx1"/>
            </w14:solidFill>
          </w14:textFill>
        </w:rPr>
        <w:t>排污许可证</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按证排污。</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三、项目在环保申报过程中不得隐情不报，如有瞒报、谎报属违法行为，建设单位将承担由此产生的一切后果。本批复各项内容必须严格执行，建设单位如有违反，将依法追究法律责任。</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w:t>
      </w:r>
      <w:r>
        <w:rPr>
          <w:rFonts w:hint="eastAsia" w:ascii="仿宋_GB2312" w:hAnsi="仿宋_GB2312" w:eastAsia="仿宋_GB2312" w:cs="仿宋_GB2312"/>
          <w:bCs/>
          <w:color w:val="000000" w:themeColor="text1"/>
          <w:sz w:val="32"/>
          <w:szCs w:val="32"/>
          <w14:textFill>
            <w14:solidFill>
              <w14:schemeClr w14:val="tx1"/>
            </w14:solidFill>
          </w14:textFill>
        </w:rPr>
        <w:t>项目建成后，应按建设项目环境保护“三同时”规定，自主开展环境保护竣工验收</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w:t>
      </w:r>
      <w:r>
        <w:rPr>
          <w:rFonts w:hint="eastAsia" w:ascii="仿宋_GB2312" w:hAnsi="仿宋_GB2312" w:eastAsia="仿宋_GB2312" w:cs="仿宋_GB2312"/>
          <w:bCs/>
          <w:color w:val="000000" w:themeColor="text1"/>
          <w:sz w:val="32"/>
          <w:szCs w:val="32"/>
          <w14:textFill>
            <w14:solidFill>
              <w14:schemeClr w14:val="tx1"/>
            </w14:solidFill>
          </w14:textFill>
        </w:rPr>
        <w:t>建设单位应在收到本批复后15个工作日内，将批复批准后的本项目环评报告书送永州经济技术开发区环保局。拟建项目环保“三同时”执行情况的监督检查和日常环境管理工作由永州经济技术开发区环保局具体负责。</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bCs/>
          <w:color w:val="000000" w:themeColor="text1"/>
          <w:sz w:val="32"/>
          <w:szCs w:val="32"/>
          <w14:textFill>
            <w14:solidFill>
              <w14:schemeClr w14:val="tx1"/>
            </w14:solidFill>
          </w14:textFill>
        </w:rPr>
      </w:pPr>
      <w:bookmarkStart w:id="3" w:name="_GoBack"/>
      <w:bookmarkEnd w:id="3"/>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_GB2312" w:eastAsia="仿宋_GB2312" w:cs="仿宋_GB2312"/>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3360" w:firstLineChars="1050"/>
        <w:jc w:val="center"/>
        <w:textAlignment w:val="auto"/>
        <w:outlineLvl w:val="0"/>
        <w:rPr>
          <w:rFonts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永州市生态环境局</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3360" w:firstLineChars="1050"/>
        <w:jc w:val="center"/>
        <w:textAlignment w:val="auto"/>
        <w:rPr>
          <w:rFonts w:ascii="仿宋_GB2312" w:hAnsi="仿宋_GB2312" w:eastAsia="仿宋_GB2312" w:cs="仿宋_GB2312"/>
          <w:color w:val="000000" w:themeColor="text1"/>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20</w:t>
      </w:r>
      <w:r>
        <w:rPr>
          <w:rFonts w:ascii="仿宋_GB2312" w:hAnsi="仿宋_GB2312" w:eastAsia="仿宋_GB2312" w:cs="仿宋_GB2312"/>
          <w:color w:val="000000" w:themeColor="text1"/>
          <w:sz w:val="32"/>
          <w:szCs w:val="32"/>
          <w:lang w:val="zh-CN"/>
          <w14:textFill>
            <w14:solidFill>
              <w14:schemeClr w14:val="tx1"/>
            </w14:solidFill>
          </w14:textFill>
        </w:rPr>
        <w:t>20</w:t>
      </w:r>
      <w:r>
        <w:rPr>
          <w:rFonts w:hint="eastAsia" w:ascii="仿宋_GB2312" w:hAnsi="仿宋_GB2312" w:eastAsia="仿宋_GB2312" w:cs="仿宋_GB2312"/>
          <w:color w:val="000000" w:themeColor="text1"/>
          <w:sz w:val="32"/>
          <w:szCs w:val="32"/>
          <w:lang w:val="zh-CN"/>
          <w14:textFill>
            <w14:solidFill>
              <w14:schemeClr w14:val="tx1"/>
            </w14:solidFill>
          </w14:textFill>
        </w:rPr>
        <w:t>年</w:t>
      </w:r>
      <w:r>
        <w:rPr>
          <w:rFonts w:ascii="仿宋_GB2312" w:hAnsi="仿宋_GB2312" w:eastAsia="仿宋_GB2312" w:cs="仿宋_GB2312"/>
          <w:color w:val="000000" w:themeColor="text1"/>
          <w:sz w:val="32"/>
          <w:szCs w:val="32"/>
          <w:lang w:val="zh-CN"/>
          <w14:textFill>
            <w14:solidFill>
              <w14:schemeClr w14:val="tx1"/>
            </w14:solidFill>
          </w14:textFill>
        </w:rPr>
        <w:t>7</w:t>
      </w:r>
      <w:r>
        <w:rPr>
          <w:rFonts w:hint="eastAsia" w:ascii="仿宋_GB2312" w:hAnsi="仿宋_GB2312" w:eastAsia="仿宋_GB2312" w:cs="仿宋_GB2312"/>
          <w:color w:val="000000" w:themeColor="text1"/>
          <w:sz w:val="32"/>
          <w:szCs w:val="32"/>
          <w:lang w:val="zh-CN"/>
          <w14:textFill>
            <w14:solidFill>
              <w14:schemeClr w14:val="tx1"/>
            </w14:solidFill>
          </w14:textFill>
        </w:rPr>
        <w:t>月27日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lang w:val="zh-CN"/>
          <w14:textFill>
            <w14:solidFill>
              <w14:schemeClr w14:val="tx1"/>
            </w14:solidFill>
          </w14:textFill>
        </w:rPr>
      </w:pPr>
    </w:p>
    <w:p>
      <w:pPr>
        <w:adjustRightInd w:val="0"/>
        <w:snapToGrid w:val="0"/>
        <w:spacing w:line="600" w:lineRule="exact"/>
        <w:ind w:firstLine="640" w:firstLineChars="200"/>
        <w:rPr>
          <w:rFonts w:ascii="仿宋_GB2312" w:hAnsi="仿宋_GB2312" w:eastAsia="仿宋_GB2312" w:cs="仿宋_GB2312"/>
          <w:color w:val="000000" w:themeColor="text1"/>
          <w:sz w:val="32"/>
          <w:szCs w:val="32"/>
          <w:lang w:val="zh-CN"/>
          <w14:textFill>
            <w14:solidFill>
              <w14:schemeClr w14:val="tx1"/>
            </w14:solidFill>
          </w14:textFill>
        </w:rPr>
      </w:pPr>
    </w:p>
    <w:p>
      <w:pPr>
        <w:adjustRightInd w:val="0"/>
        <w:snapToGrid w:val="0"/>
        <w:spacing w:line="600" w:lineRule="exact"/>
        <w:ind w:firstLine="640" w:firstLineChars="200"/>
        <w:rPr>
          <w:rFonts w:ascii="仿宋_GB2312" w:hAnsi="仿宋_GB2312" w:eastAsia="仿宋_GB2312" w:cs="仿宋_GB2312"/>
          <w:color w:val="000000" w:themeColor="text1"/>
          <w:sz w:val="32"/>
          <w:szCs w:val="32"/>
          <w:lang w:val="zh-CN"/>
          <w14:textFill>
            <w14:solidFill>
              <w14:schemeClr w14:val="tx1"/>
            </w14:solidFill>
          </w14:textFill>
        </w:rPr>
      </w:pPr>
    </w:p>
    <w:p>
      <w:pPr>
        <w:adjustRightInd w:val="0"/>
        <w:snapToGrid w:val="0"/>
        <w:spacing w:line="600" w:lineRule="exact"/>
        <w:ind w:firstLine="640" w:firstLineChars="200"/>
        <w:rPr>
          <w:rFonts w:ascii="仿宋_GB2312" w:hAnsi="仿宋_GB2312" w:eastAsia="仿宋_GB2312" w:cs="仿宋_GB2312"/>
          <w:color w:val="000000" w:themeColor="text1"/>
          <w:sz w:val="32"/>
          <w:szCs w:val="32"/>
          <w:lang w:val="zh-CN"/>
          <w14:textFill>
            <w14:solidFill>
              <w14:schemeClr w14:val="tx1"/>
            </w14:solidFill>
          </w14:textFill>
        </w:rPr>
      </w:pPr>
    </w:p>
    <w:p>
      <w:pPr>
        <w:adjustRightInd w:val="0"/>
        <w:snapToGrid w:val="0"/>
        <w:spacing w:line="600" w:lineRule="exact"/>
        <w:ind w:firstLine="640" w:firstLineChars="200"/>
        <w:rPr>
          <w:rFonts w:ascii="仿宋_GB2312" w:hAnsi="仿宋_GB2312" w:eastAsia="仿宋_GB2312" w:cs="仿宋_GB2312"/>
          <w:color w:val="000000" w:themeColor="text1"/>
          <w:sz w:val="32"/>
          <w:szCs w:val="32"/>
          <w:lang w:val="zh-CN"/>
          <w14:textFill>
            <w14:solidFill>
              <w14:schemeClr w14:val="tx1"/>
            </w14:solidFill>
          </w14:textFill>
        </w:rPr>
      </w:pPr>
    </w:p>
    <w:p>
      <w:pPr>
        <w:adjustRightInd w:val="0"/>
        <w:snapToGrid w:val="0"/>
        <w:spacing w:line="600" w:lineRule="exact"/>
        <w:ind w:firstLine="640" w:firstLineChars="200"/>
        <w:rPr>
          <w:rFonts w:ascii="仿宋_GB2312" w:hAnsi="仿宋_GB2312" w:eastAsia="仿宋_GB2312" w:cs="仿宋_GB2312"/>
          <w:color w:val="000000" w:themeColor="text1"/>
          <w:sz w:val="32"/>
          <w:szCs w:val="32"/>
          <w:lang w:val="zh-CN"/>
          <w14:textFill>
            <w14:solidFill>
              <w14:schemeClr w14:val="tx1"/>
            </w14:solidFill>
          </w14:textFill>
        </w:rPr>
      </w:pPr>
    </w:p>
    <w:p>
      <w:pPr>
        <w:adjustRightInd w:val="0"/>
        <w:snapToGrid w:val="0"/>
        <w:spacing w:line="600" w:lineRule="exact"/>
        <w:ind w:firstLine="640" w:firstLineChars="200"/>
        <w:rPr>
          <w:rFonts w:ascii="仿宋_GB2312" w:hAnsi="仿宋_GB2312" w:eastAsia="仿宋_GB2312" w:cs="仿宋_GB2312"/>
          <w:color w:val="000000" w:themeColor="text1"/>
          <w:sz w:val="32"/>
          <w:szCs w:val="32"/>
          <w:lang w:val="zh-CN"/>
          <w14:textFill>
            <w14:solidFill>
              <w14:schemeClr w14:val="tx1"/>
            </w14:solidFill>
          </w14:textFill>
        </w:rPr>
      </w:pPr>
    </w:p>
    <w:p>
      <w:pPr>
        <w:adjustRightInd w:val="0"/>
        <w:snapToGrid w:val="0"/>
        <w:spacing w:line="600" w:lineRule="exact"/>
        <w:ind w:firstLine="640" w:firstLineChars="200"/>
        <w:rPr>
          <w:rFonts w:ascii="仿宋_GB2312" w:hAnsi="仿宋_GB2312" w:eastAsia="仿宋_GB2312" w:cs="仿宋_GB2312"/>
          <w:color w:val="000000" w:themeColor="text1"/>
          <w:sz w:val="32"/>
          <w:szCs w:val="32"/>
          <w:lang w:val="zh-CN"/>
          <w14:textFill>
            <w14:solidFill>
              <w14:schemeClr w14:val="tx1"/>
            </w14:solidFill>
          </w14:textFill>
        </w:rPr>
      </w:pPr>
    </w:p>
    <w:p>
      <w:pPr>
        <w:adjustRightInd w:val="0"/>
        <w:snapToGrid w:val="0"/>
        <w:spacing w:line="600" w:lineRule="exact"/>
        <w:ind w:firstLine="640" w:firstLineChars="200"/>
        <w:rPr>
          <w:rFonts w:ascii="仿宋_GB2312" w:hAnsi="仿宋_GB2312" w:eastAsia="仿宋_GB2312" w:cs="仿宋_GB2312"/>
          <w:color w:val="000000" w:themeColor="text1"/>
          <w:sz w:val="32"/>
          <w:szCs w:val="32"/>
          <w:lang w:val="zh-CN"/>
          <w14:textFill>
            <w14:solidFill>
              <w14:schemeClr w14:val="tx1"/>
            </w14:solidFill>
          </w14:textFill>
        </w:rPr>
      </w:pPr>
    </w:p>
    <w:p>
      <w:pPr>
        <w:adjustRightInd w:val="0"/>
        <w:snapToGrid w:val="0"/>
        <w:spacing w:line="600" w:lineRule="exact"/>
        <w:ind w:firstLine="320" w:firstLineChars="100"/>
        <w:rPr>
          <w:rFonts w:eastAsia="仿宋_GB2312"/>
          <w:color w:val="000000" w:themeColor="text1"/>
          <w:sz w:val="32"/>
          <w:szCs w:val="32"/>
          <w:lang w:val="zh-CN"/>
          <w14:textFill>
            <w14:solidFill>
              <w14:schemeClr w14:val="tx1"/>
            </w14:solidFill>
          </w14:textFill>
        </w:rPr>
      </w:pPr>
      <w:r>
        <w:rPr>
          <w:rFonts w:eastAsia="仿宋_GB2312"/>
          <w:color w:val="000000" w:themeColor="text1"/>
          <w:sz w:val="32"/>
          <w:szCs w:val="32"/>
          <w:lang w:val="zh-CN"/>
          <w14:textFill>
            <w14:solidFill>
              <w14:schemeClr w14:val="tx1"/>
            </w14:solidFill>
          </w14:textFill>
        </w:rPr>
        <w:t>抄送：</w:t>
      </w:r>
      <w:r>
        <w:rPr>
          <w:rFonts w:hint="eastAsia" w:eastAsia="仿宋_GB2312"/>
          <w:color w:val="000000" w:themeColor="text1"/>
          <w:sz w:val="32"/>
          <w:szCs w:val="32"/>
          <w:lang w:val="zh-CN"/>
          <w14:textFill>
            <w14:solidFill>
              <w14:schemeClr w14:val="tx1"/>
            </w14:solidFill>
          </w14:textFill>
        </w:rPr>
        <w:t>永州经济技术开发区环保局</w:t>
      </w:r>
      <w:r>
        <w:rPr>
          <w:rFonts w:eastAsia="仿宋_GB2312"/>
          <w:color w:val="000000" w:themeColor="text1"/>
          <w:sz w:val="32"/>
          <w:szCs w:val="32"/>
          <w:lang w:val="zh-CN"/>
          <w14:textFill>
            <w14:solidFill>
              <w14:schemeClr w14:val="tx1"/>
            </w14:solidFill>
          </w14:textFill>
        </w:rPr>
        <w:t>，</w:t>
      </w:r>
      <w:r>
        <w:rPr>
          <w:rFonts w:hint="eastAsia" w:eastAsia="仿宋_GB2312"/>
          <w:color w:val="000000" w:themeColor="text1"/>
          <w:sz w:val="32"/>
          <w:szCs w:val="32"/>
          <w14:textFill>
            <w14:solidFill>
              <w14:schemeClr w14:val="tx1"/>
            </w14:solidFill>
          </w14:textFill>
        </w:rPr>
        <w:t>湖南博然创新环保科技有限公司</w:t>
      </w:r>
      <w:r>
        <w:rPr>
          <w:rFonts w:eastAsia="仿宋_GB2312"/>
          <w:color w:val="000000" w:themeColor="text1"/>
          <w:sz w:val="32"/>
          <w:szCs w:val="32"/>
          <w:lang w:val="zh-CN"/>
          <w14:textFill>
            <w14:solidFill>
              <w14:schemeClr w14:val="tx1"/>
            </w14:solidFill>
          </w14:textFill>
        </w:rPr>
        <w:t>。</w:t>
      </w:r>
    </w:p>
    <w:sectPr>
      <w:headerReference r:id="rId3" w:type="default"/>
      <w:footerReference r:id="rId4" w:type="default"/>
      <w:footerReference r:id="rId5" w:type="even"/>
      <w:pgSz w:w="11906" w:h="16838"/>
      <w:pgMar w:top="1701" w:right="1644" w:bottom="1474" w:left="164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_GB2312">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4</w:t>
    </w:r>
    <w:r>
      <w:rPr>
        <w:rStyle w:val="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172CD"/>
    <w:rsid w:val="000208B3"/>
    <w:rsid w:val="00022CAE"/>
    <w:rsid w:val="000334D0"/>
    <w:rsid w:val="00043C70"/>
    <w:rsid w:val="00044519"/>
    <w:rsid w:val="00046999"/>
    <w:rsid w:val="00052DEB"/>
    <w:rsid w:val="00053BE9"/>
    <w:rsid w:val="00054CD8"/>
    <w:rsid w:val="00062696"/>
    <w:rsid w:val="00077D77"/>
    <w:rsid w:val="000906DC"/>
    <w:rsid w:val="000919AA"/>
    <w:rsid w:val="00095508"/>
    <w:rsid w:val="000A3175"/>
    <w:rsid w:val="000B0A56"/>
    <w:rsid w:val="000D3930"/>
    <w:rsid w:val="000D4372"/>
    <w:rsid w:val="000D4F97"/>
    <w:rsid w:val="000D54BA"/>
    <w:rsid w:val="000D6070"/>
    <w:rsid w:val="000E3DD1"/>
    <w:rsid w:val="000E4047"/>
    <w:rsid w:val="000E41F7"/>
    <w:rsid w:val="000E4561"/>
    <w:rsid w:val="000E7E96"/>
    <w:rsid w:val="000F3EDB"/>
    <w:rsid w:val="001043B0"/>
    <w:rsid w:val="001059E3"/>
    <w:rsid w:val="00106CF1"/>
    <w:rsid w:val="00115C3C"/>
    <w:rsid w:val="0012379F"/>
    <w:rsid w:val="001250F0"/>
    <w:rsid w:val="00133C52"/>
    <w:rsid w:val="00134DD7"/>
    <w:rsid w:val="00143821"/>
    <w:rsid w:val="00146AEF"/>
    <w:rsid w:val="0014766C"/>
    <w:rsid w:val="001551A7"/>
    <w:rsid w:val="001563D1"/>
    <w:rsid w:val="001647AE"/>
    <w:rsid w:val="00164BC5"/>
    <w:rsid w:val="00172A27"/>
    <w:rsid w:val="001A52DE"/>
    <w:rsid w:val="001B0A03"/>
    <w:rsid w:val="001C0A22"/>
    <w:rsid w:val="001C2D3D"/>
    <w:rsid w:val="001C2F62"/>
    <w:rsid w:val="001D5F75"/>
    <w:rsid w:val="001D6C0D"/>
    <w:rsid w:val="001D6DE1"/>
    <w:rsid w:val="001D7341"/>
    <w:rsid w:val="001E370C"/>
    <w:rsid w:val="001E52EA"/>
    <w:rsid w:val="001E7BBA"/>
    <w:rsid w:val="001F5FA2"/>
    <w:rsid w:val="00205DBE"/>
    <w:rsid w:val="0021131E"/>
    <w:rsid w:val="002131E8"/>
    <w:rsid w:val="00224B91"/>
    <w:rsid w:val="00226372"/>
    <w:rsid w:val="00227011"/>
    <w:rsid w:val="00232BFF"/>
    <w:rsid w:val="00241539"/>
    <w:rsid w:val="00254E67"/>
    <w:rsid w:val="002614F7"/>
    <w:rsid w:val="00264AA7"/>
    <w:rsid w:val="0026579E"/>
    <w:rsid w:val="00265EED"/>
    <w:rsid w:val="00266A7B"/>
    <w:rsid w:val="00266FFB"/>
    <w:rsid w:val="00270FC3"/>
    <w:rsid w:val="002748C4"/>
    <w:rsid w:val="00275B09"/>
    <w:rsid w:val="00282869"/>
    <w:rsid w:val="00287B75"/>
    <w:rsid w:val="00291960"/>
    <w:rsid w:val="00293543"/>
    <w:rsid w:val="00297EDA"/>
    <w:rsid w:val="002A0A67"/>
    <w:rsid w:val="002A3772"/>
    <w:rsid w:val="002B36DC"/>
    <w:rsid w:val="002C074A"/>
    <w:rsid w:val="002C1AC7"/>
    <w:rsid w:val="002C3203"/>
    <w:rsid w:val="002C5098"/>
    <w:rsid w:val="002C5239"/>
    <w:rsid w:val="002E5EC0"/>
    <w:rsid w:val="002E76F3"/>
    <w:rsid w:val="002E7DF4"/>
    <w:rsid w:val="002F0422"/>
    <w:rsid w:val="002F1801"/>
    <w:rsid w:val="002F56B5"/>
    <w:rsid w:val="002F7BE1"/>
    <w:rsid w:val="003153CC"/>
    <w:rsid w:val="00320119"/>
    <w:rsid w:val="00321F65"/>
    <w:rsid w:val="0032235E"/>
    <w:rsid w:val="003242F2"/>
    <w:rsid w:val="003248E5"/>
    <w:rsid w:val="00342072"/>
    <w:rsid w:val="00343D73"/>
    <w:rsid w:val="0034403A"/>
    <w:rsid w:val="00344384"/>
    <w:rsid w:val="003612A5"/>
    <w:rsid w:val="00375057"/>
    <w:rsid w:val="003760ED"/>
    <w:rsid w:val="003809FA"/>
    <w:rsid w:val="00386598"/>
    <w:rsid w:val="0039084A"/>
    <w:rsid w:val="003909A2"/>
    <w:rsid w:val="00391F05"/>
    <w:rsid w:val="003945C7"/>
    <w:rsid w:val="003978D5"/>
    <w:rsid w:val="00397F21"/>
    <w:rsid w:val="003A0092"/>
    <w:rsid w:val="003A2324"/>
    <w:rsid w:val="003A2AEE"/>
    <w:rsid w:val="003A507C"/>
    <w:rsid w:val="003A7091"/>
    <w:rsid w:val="003C3238"/>
    <w:rsid w:val="003C709E"/>
    <w:rsid w:val="003D6D86"/>
    <w:rsid w:val="003E1D3A"/>
    <w:rsid w:val="003E214E"/>
    <w:rsid w:val="003F41CD"/>
    <w:rsid w:val="003F7440"/>
    <w:rsid w:val="003F7D8D"/>
    <w:rsid w:val="0040106E"/>
    <w:rsid w:val="0041101E"/>
    <w:rsid w:val="004171EB"/>
    <w:rsid w:val="00417952"/>
    <w:rsid w:val="00427B2F"/>
    <w:rsid w:val="00430331"/>
    <w:rsid w:val="00432F30"/>
    <w:rsid w:val="0044342C"/>
    <w:rsid w:val="00453997"/>
    <w:rsid w:val="004608D8"/>
    <w:rsid w:val="00490009"/>
    <w:rsid w:val="00494B1F"/>
    <w:rsid w:val="00494DC8"/>
    <w:rsid w:val="00496A6F"/>
    <w:rsid w:val="004970F7"/>
    <w:rsid w:val="004A03C4"/>
    <w:rsid w:val="004A25AF"/>
    <w:rsid w:val="004A45BA"/>
    <w:rsid w:val="004A4CF5"/>
    <w:rsid w:val="004B33F1"/>
    <w:rsid w:val="004B3E81"/>
    <w:rsid w:val="004B4265"/>
    <w:rsid w:val="004B623F"/>
    <w:rsid w:val="004D34B2"/>
    <w:rsid w:val="004D3A82"/>
    <w:rsid w:val="004E1458"/>
    <w:rsid w:val="004E1EA1"/>
    <w:rsid w:val="004E31C2"/>
    <w:rsid w:val="004E52FC"/>
    <w:rsid w:val="004F47DA"/>
    <w:rsid w:val="004F799C"/>
    <w:rsid w:val="005016FA"/>
    <w:rsid w:val="00505303"/>
    <w:rsid w:val="00506FA1"/>
    <w:rsid w:val="005108F7"/>
    <w:rsid w:val="00511EDC"/>
    <w:rsid w:val="00517638"/>
    <w:rsid w:val="005209DF"/>
    <w:rsid w:val="005272C3"/>
    <w:rsid w:val="005353F4"/>
    <w:rsid w:val="00536E57"/>
    <w:rsid w:val="0054067C"/>
    <w:rsid w:val="0055048A"/>
    <w:rsid w:val="00551306"/>
    <w:rsid w:val="00565905"/>
    <w:rsid w:val="00565C6B"/>
    <w:rsid w:val="005671F6"/>
    <w:rsid w:val="005856A6"/>
    <w:rsid w:val="00590B05"/>
    <w:rsid w:val="005A42AF"/>
    <w:rsid w:val="005B45BF"/>
    <w:rsid w:val="005C1DEC"/>
    <w:rsid w:val="005C6F4F"/>
    <w:rsid w:val="005C7567"/>
    <w:rsid w:val="005D08C7"/>
    <w:rsid w:val="005D5823"/>
    <w:rsid w:val="005E018E"/>
    <w:rsid w:val="005E38D8"/>
    <w:rsid w:val="005F28F4"/>
    <w:rsid w:val="005F3F60"/>
    <w:rsid w:val="005F5C4C"/>
    <w:rsid w:val="00603136"/>
    <w:rsid w:val="006258B2"/>
    <w:rsid w:val="00632922"/>
    <w:rsid w:val="0067173D"/>
    <w:rsid w:val="006723D5"/>
    <w:rsid w:val="0067412D"/>
    <w:rsid w:val="00680034"/>
    <w:rsid w:val="00685679"/>
    <w:rsid w:val="00687A95"/>
    <w:rsid w:val="0069085B"/>
    <w:rsid w:val="006910F7"/>
    <w:rsid w:val="006C0528"/>
    <w:rsid w:val="006C6113"/>
    <w:rsid w:val="006D4094"/>
    <w:rsid w:val="006D4A6A"/>
    <w:rsid w:val="006E0F8D"/>
    <w:rsid w:val="006E17F3"/>
    <w:rsid w:val="006F003D"/>
    <w:rsid w:val="006F2CCB"/>
    <w:rsid w:val="007075D0"/>
    <w:rsid w:val="00707A91"/>
    <w:rsid w:val="00712B79"/>
    <w:rsid w:val="007151D1"/>
    <w:rsid w:val="00715EB0"/>
    <w:rsid w:val="00726E52"/>
    <w:rsid w:val="00735892"/>
    <w:rsid w:val="0073615A"/>
    <w:rsid w:val="0074285D"/>
    <w:rsid w:val="0074598B"/>
    <w:rsid w:val="007467E9"/>
    <w:rsid w:val="00747E5B"/>
    <w:rsid w:val="00751C3E"/>
    <w:rsid w:val="00753D03"/>
    <w:rsid w:val="00756A29"/>
    <w:rsid w:val="00757A63"/>
    <w:rsid w:val="00763B9F"/>
    <w:rsid w:val="00773847"/>
    <w:rsid w:val="00776FE4"/>
    <w:rsid w:val="00783ED3"/>
    <w:rsid w:val="00793CBD"/>
    <w:rsid w:val="007A0B9A"/>
    <w:rsid w:val="007A2CB7"/>
    <w:rsid w:val="007A6445"/>
    <w:rsid w:val="007B4420"/>
    <w:rsid w:val="007B573C"/>
    <w:rsid w:val="007C5158"/>
    <w:rsid w:val="007D0BB5"/>
    <w:rsid w:val="007D0D45"/>
    <w:rsid w:val="007E209A"/>
    <w:rsid w:val="007E219D"/>
    <w:rsid w:val="007E4A1E"/>
    <w:rsid w:val="007F0DBF"/>
    <w:rsid w:val="007F2508"/>
    <w:rsid w:val="007F5DDE"/>
    <w:rsid w:val="00805A1D"/>
    <w:rsid w:val="008124FB"/>
    <w:rsid w:val="00812E95"/>
    <w:rsid w:val="00821623"/>
    <w:rsid w:val="008248D3"/>
    <w:rsid w:val="00834755"/>
    <w:rsid w:val="0083600A"/>
    <w:rsid w:val="00841445"/>
    <w:rsid w:val="00841E03"/>
    <w:rsid w:val="00846AE4"/>
    <w:rsid w:val="008501A4"/>
    <w:rsid w:val="008518E1"/>
    <w:rsid w:val="00853297"/>
    <w:rsid w:val="00862659"/>
    <w:rsid w:val="00863449"/>
    <w:rsid w:val="00864F3C"/>
    <w:rsid w:val="00873755"/>
    <w:rsid w:val="00876D59"/>
    <w:rsid w:val="00886CD9"/>
    <w:rsid w:val="00886F6B"/>
    <w:rsid w:val="00890F81"/>
    <w:rsid w:val="00892D45"/>
    <w:rsid w:val="0089364C"/>
    <w:rsid w:val="008A17B2"/>
    <w:rsid w:val="008A3A15"/>
    <w:rsid w:val="008A5BCD"/>
    <w:rsid w:val="008A6805"/>
    <w:rsid w:val="008B0E82"/>
    <w:rsid w:val="008C3121"/>
    <w:rsid w:val="008C35EE"/>
    <w:rsid w:val="008D4538"/>
    <w:rsid w:val="008E1E76"/>
    <w:rsid w:val="008E2069"/>
    <w:rsid w:val="008E4827"/>
    <w:rsid w:val="008E7B48"/>
    <w:rsid w:val="008F011F"/>
    <w:rsid w:val="008F033A"/>
    <w:rsid w:val="008F25C1"/>
    <w:rsid w:val="008F3E9F"/>
    <w:rsid w:val="008F6FF7"/>
    <w:rsid w:val="00905FC1"/>
    <w:rsid w:val="00913049"/>
    <w:rsid w:val="00920C99"/>
    <w:rsid w:val="00921A92"/>
    <w:rsid w:val="009258EC"/>
    <w:rsid w:val="0092786C"/>
    <w:rsid w:val="009340EF"/>
    <w:rsid w:val="00934B42"/>
    <w:rsid w:val="009358E2"/>
    <w:rsid w:val="009367E8"/>
    <w:rsid w:val="0094051A"/>
    <w:rsid w:val="00951F05"/>
    <w:rsid w:val="00957726"/>
    <w:rsid w:val="00960BA3"/>
    <w:rsid w:val="009679A2"/>
    <w:rsid w:val="00970582"/>
    <w:rsid w:val="009730E7"/>
    <w:rsid w:val="00973B68"/>
    <w:rsid w:val="009838E9"/>
    <w:rsid w:val="00987189"/>
    <w:rsid w:val="00992913"/>
    <w:rsid w:val="00995B22"/>
    <w:rsid w:val="009B7B36"/>
    <w:rsid w:val="009C059E"/>
    <w:rsid w:val="009C07FE"/>
    <w:rsid w:val="009C38E9"/>
    <w:rsid w:val="009C3D09"/>
    <w:rsid w:val="009C5226"/>
    <w:rsid w:val="009C5D11"/>
    <w:rsid w:val="009C5DB9"/>
    <w:rsid w:val="009C60C7"/>
    <w:rsid w:val="009C6658"/>
    <w:rsid w:val="009D6929"/>
    <w:rsid w:val="009E3F42"/>
    <w:rsid w:val="009F1E09"/>
    <w:rsid w:val="009F4284"/>
    <w:rsid w:val="00A00347"/>
    <w:rsid w:val="00A030C1"/>
    <w:rsid w:val="00A12612"/>
    <w:rsid w:val="00A16DFC"/>
    <w:rsid w:val="00A24252"/>
    <w:rsid w:val="00A260F7"/>
    <w:rsid w:val="00A4019D"/>
    <w:rsid w:val="00A407C0"/>
    <w:rsid w:val="00A475AD"/>
    <w:rsid w:val="00A51458"/>
    <w:rsid w:val="00A51FE8"/>
    <w:rsid w:val="00A53C13"/>
    <w:rsid w:val="00A54165"/>
    <w:rsid w:val="00A5449F"/>
    <w:rsid w:val="00A566C3"/>
    <w:rsid w:val="00A56B08"/>
    <w:rsid w:val="00A63418"/>
    <w:rsid w:val="00A63CD3"/>
    <w:rsid w:val="00A7130B"/>
    <w:rsid w:val="00A83499"/>
    <w:rsid w:val="00A844A6"/>
    <w:rsid w:val="00A848A0"/>
    <w:rsid w:val="00A854D0"/>
    <w:rsid w:val="00A92FC9"/>
    <w:rsid w:val="00AA3D82"/>
    <w:rsid w:val="00AB7231"/>
    <w:rsid w:val="00AC2F29"/>
    <w:rsid w:val="00AC6FA0"/>
    <w:rsid w:val="00AC7B37"/>
    <w:rsid w:val="00AD38AF"/>
    <w:rsid w:val="00AE4822"/>
    <w:rsid w:val="00AF4AF9"/>
    <w:rsid w:val="00AF799E"/>
    <w:rsid w:val="00AF7CB7"/>
    <w:rsid w:val="00B11196"/>
    <w:rsid w:val="00B12438"/>
    <w:rsid w:val="00B2201D"/>
    <w:rsid w:val="00B22EA0"/>
    <w:rsid w:val="00B34AAD"/>
    <w:rsid w:val="00B429B8"/>
    <w:rsid w:val="00B51452"/>
    <w:rsid w:val="00B53748"/>
    <w:rsid w:val="00B53857"/>
    <w:rsid w:val="00B55B83"/>
    <w:rsid w:val="00B61324"/>
    <w:rsid w:val="00B625F0"/>
    <w:rsid w:val="00B65CBA"/>
    <w:rsid w:val="00B75A64"/>
    <w:rsid w:val="00B800B0"/>
    <w:rsid w:val="00B81752"/>
    <w:rsid w:val="00B8234A"/>
    <w:rsid w:val="00B82AC5"/>
    <w:rsid w:val="00B85DDE"/>
    <w:rsid w:val="00B9186D"/>
    <w:rsid w:val="00BA3AD6"/>
    <w:rsid w:val="00BA6E30"/>
    <w:rsid w:val="00BB2DC0"/>
    <w:rsid w:val="00BC0871"/>
    <w:rsid w:val="00BC1406"/>
    <w:rsid w:val="00BC409E"/>
    <w:rsid w:val="00BC4643"/>
    <w:rsid w:val="00BC4E5F"/>
    <w:rsid w:val="00BD5E44"/>
    <w:rsid w:val="00BE082C"/>
    <w:rsid w:val="00BE3019"/>
    <w:rsid w:val="00BF05AD"/>
    <w:rsid w:val="00BF61D5"/>
    <w:rsid w:val="00C02CE5"/>
    <w:rsid w:val="00C07C48"/>
    <w:rsid w:val="00C1403B"/>
    <w:rsid w:val="00C144C0"/>
    <w:rsid w:val="00C2064B"/>
    <w:rsid w:val="00C21036"/>
    <w:rsid w:val="00C40192"/>
    <w:rsid w:val="00C55887"/>
    <w:rsid w:val="00C56F9A"/>
    <w:rsid w:val="00C5722C"/>
    <w:rsid w:val="00C572E1"/>
    <w:rsid w:val="00C6400B"/>
    <w:rsid w:val="00C64F3D"/>
    <w:rsid w:val="00C65B3E"/>
    <w:rsid w:val="00C7486B"/>
    <w:rsid w:val="00C74A9A"/>
    <w:rsid w:val="00C7793B"/>
    <w:rsid w:val="00C8168B"/>
    <w:rsid w:val="00C8690F"/>
    <w:rsid w:val="00C86C5D"/>
    <w:rsid w:val="00C916B2"/>
    <w:rsid w:val="00C931CA"/>
    <w:rsid w:val="00C94B4A"/>
    <w:rsid w:val="00C95E61"/>
    <w:rsid w:val="00CA202A"/>
    <w:rsid w:val="00CA3B67"/>
    <w:rsid w:val="00CB229D"/>
    <w:rsid w:val="00CB5B42"/>
    <w:rsid w:val="00CD07E8"/>
    <w:rsid w:val="00CD4CCC"/>
    <w:rsid w:val="00CD66D1"/>
    <w:rsid w:val="00CD767F"/>
    <w:rsid w:val="00CF1235"/>
    <w:rsid w:val="00CF6162"/>
    <w:rsid w:val="00D065FA"/>
    <w:rsid w:val="00D223D4"/>
    <w:rsid w:val="00D26775"/>
    <w:rsid w:val="00D327E8"/>
    <w:rsid w:val="00D37BD9"/>
    <w:rsid w:val="00D4203A"/>
    <w:rsid w:val="00D426A4"/>
    <w:rsid w:val="00D42F3E"/>
    <w:rsid w:val="00D451A0"/>
    <w:rsid w:val="00D47295"/>
    <w:rsid w:val="00D53374"/>
    <w:rsid w:val="00D60C18"/>
    <w:rsid w:val="00D64109"/>
    <w:rsid w:val="00D66B77"/>
    <w:rsid w:val="00D8098E"/>
    <w:rsid w:val="00D907AE"/>
    <w:rsid w:val="00DB0F0B"/>
    <w:rsid w:val="00DC5BCA"/>
    <w:rsid w:val="00DC7C1B"/>
    <w:rsid w:val="00DD1EE9"/>
    <w:rsid w:val="00DD4D63"/>
    <w:rsid w:val="00DD5A54"/>
    <w:rsid w:val="00DD75B5"/>
    <w:rsid w:val="00DE760A"/>
    <w:rsid w:val="00DF1948"/>
    <w:rsid w:val="00DF1A99"/>
    <w:rsid w:val="00E0096C"/>
    <w:rsid w:val="00E07B1A"/>
    <w:rsid w:val="00E14DDC"/>
    <w:rsid w:val="00E175A1"/>
    <w:rsid w:val="00E22F42"/>
    <w:rsid w:val="00E3470A"/>
    <w:rsid w:val="00E44062"/>
    <w:rsid w:val="00E534AB"/>
    <w:rsid w:val="00E6611E"/>
    <w:rsid w:val="00E76A89"/>
    <w:rsid w:val="00E77318"/>
    <w:rsid w:val="00E77F8A"/>
    <w:rsid w:val="00E805BC"/>
    <w:rsid w:val="00E849BF"/>
    <w:rsid w:val="00E93A79"/>
    <w:rsid w:val="00EA63E6"/>
    <w:rsid w:val="00EA7479"/>
    <w:rsid w:val="00EB304B"/>
    <w:rsid w:val="00EC4634"/>
    <w:rsid w:val="00EC7276"/>
    <w:rsid w:val="00ED1E40"/>
    <w:rsid w:val="00ED30FD"/>
    <w:rsid w:val="00ED59B9"/>
    <w:rsid w:val="00EE0235"/>
    <w:rsid w:val="00EE3BE6"/>
    <w:rsid w:val="00EE54AE"/>
    <w:rsid w:val="00EF4802"/>
    <w:rsid w:val="00F01B8B"/>
    <w:rsid w:val="00F04840"/>
    <w:rsid w:val="00F055C8"/>
    <w:rsid w:val="00F0662B"/>
    <w:rsid w:val="00F1094B"/>
    <w:rsid w:val="00F11777"/>
    <w:rsid w:val="00F13AFA"/>
    <w:rsid w:val="00F13F5C"/>
    <w:rsid w:val="00F26999"/>
    <w:rsid w:val="00F320BD"/>
    <w:rsid w:val="00F33F0E"/>
    <w:rsid w:val="00F36987"/>
    <w:rsid w:val="00F41731"/>
    <w:rsid w:val="00F47D15"/>
    <w:rsid w:val="00F52ABA"/>
    <w:rsid w:val="00F52FC2"/>
    <w:rsid w:val="00F610A9"/>
    <w:rsid w:val="00F63DE1"/>
    <w:rsid w:val="00F7789F"/>
    <w:rsid w:val="00F80D75"/>
    <w:rsid w:val="00F8203B"/>
    <w:rsid w:val="00F90CFC"/>
    <w:rsid w:val="00F91DEA"/>
    <w:rsid w:val="00F95562"/>
    <w:rsid w:val="00FA3F21"/>
    <w:rsid w:val="00FA4A2B"/>
    <w:rsid w:val="00FC3769"/>
    <w:rsid w:val="00FC4ACA"/>
    <w:rsid w:val="00FC5ED1"/>
    <w:rsid w:val="00FD3178"/>
    <w:rsid w:val="00FD5932"/>
    <w:rsid w:val="00FE2C97"/>
    <w:rsid w:val="00FE2E64"/>
    <w:rsid w:val="00FE43B7"/>
    <w:rsid w:val="00FE6AB0"/>
    <w:rsid w:val="00FF583F"/>
    <w:rsid w:val="04FB66CD"/>
    <w:rsid w:val="06456F2D"/>
    <w:rsid w:val="06B75113"/>
    <w:rsid w:val="07A80227"/>
    <w:rsid w:val="08861C8C"/>
    <w:rsid w:val="0A76233A"/>
    <w:rsid w:val="0A7A21BB"/>
    <w:rsid w:val="0C3C1484"/>
    <w:rsid w:val="0D4973AE"/>
    <w:rsid w:val="0E290DD5"/>
    <w:rsid w:val="0F8E4E74"/>
    <w:rsid w:val="12BF1FCA"/>
    <w:rsid w:val="135750B9"/>
    <w:rsid w:val="163C0CB2"/>
    <w:rsid w:val="165450A1"/>
    <w:rsid w:val="16C277E9"/>
    <w:rsid w:val="16F97DBF"/>
    <w:rsid w:val="18623FB7"/>
    <w:rsid w:val="1AB30DF8"/>
    <w:rsid w:val="1BA62502"/>
    <w:rsid w:val="1DD862F0"/>
    <w:rsid w:val="1F141D14"/>
    <w:rsid w:val="1F3857F3"/>
    <w:rsid w:val="20D51C6C"/>
    <w:rsid w:val="212A3ECD"/>
    <w:rsid w:val="212D2F22"/>
    <w:rsid w:val="21925A69"/>
    <w:rsid w:val="27035D34"/>
    <w:rsid w:val="288B74A1"/>
    <w:rsid w:val="2CC27AB5"/>
    <w:rsid w:val="2DB10A51"/>
    <w:rsid w:val="2E864E3C"/>
    <w:rsid w:val="30A725BF"/>
    <w:rsid w:val="3155674E"/>
    <w:rsid w:val="31B36D73"/>
    <w:rsid w:val="32FC0B6A"/>
    <w:rsid w:val="3313038A"/>
    <w:rsid w:val="34C573BD"/>
    <w:rsid w:val="352C5EFF"/>
    <w:rsid w:val="35A10A01"/>
    <w:rsid w:val="38CE6310"/>
    <w:rsid w:val="39DC0460"/>
    <w:rsid w:val="3A1221C3"/>
    <w:rsid w:val="40AD74A2"/>
    <w:rsid w:val="41070884"/>
    <w:rsid w:val="418B202B"/>
    <w:rsid w:val="433206AE"/>
    <w:rsid w:val="43650488"/>
    <w:rsid w:val="45925068"/>
    <w:rsid w:val="480F1458"/>
    <w:rsid w:val="48592450"/>
    <w:rsid w:val="4895625A"/>
    <w:rsid w:val="4DA73E7B"/>
    <w:rsid w:val="4E0B633E"/>
    <w:rsid w:val="4F68050E"/>
    <w:rsid w:val="4F9C4909"/>
    <w:rsid w:val="4FD741B9"/>
    <w:rsid w:val="5199361E"/>
    <w:rsid w:val="54F5454A"/>
    <w:rsid w:val="55DF7E14"/>
    <w:rsid w:val="56666AD6"/>
    <w:rsid w:val="57220EBC"/>
    <w:rsid w:val="5975770A"/>
    <w:rsid w:val="5A347D92"/>
    <w:rsid w:val="5E366531"/>
    <w:rsid w:val="5EA63B95"/>
    <w:rsid w:val="5EE72E9E"/>
    <w:rsid w:val="617A5C72"/>
    <w:rsid w:val="634A4F24"/>
    <w:rsid w:val="666563CF"/>
    <w:rsid w:val="67597C98"/>
    <w:rsid w:val="67D45756"/>
    <w:rsid w:val="69376833"/>
    <w:rsid w:val="6BF37D88"/>
    <w:rsid w:val="6CD5739E"/>
    <w:rsid w:val="6D775ADE"/>
    <w:rsid w:val="6F5E4A4D"/>
    <w:rsid w:val="71AF3137"/>
    <w:rsid w:val="7328760D"/>
    <w:rsid w:val="73EF5B48"/>
    <w:rsid w:val="76214607"/>
    <w:rsid w:val="76A64B6F"/>
    <w:rsid w:val="7A455929"/>
    <w:rsid w:val="7A583CAC"/>
    <w:rsid w:val="7CA53FB3"/>
    <w:rsid w:val="7DD17A9C"/>
    <w:rsid w:val="7E055DC0"/>
    <w:rsid w:val="7F8D1A9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黑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nhideWhenUsed="0" w:uiPriority="99" w:name="Document Map"/>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ocument Map"/>
    <w:basedOn w:val="1"/>
    <w:link w:val="9"/>
    <w:semiHidden/>
    <w:uiPriority w:val="99"/>
    <w:pPr>
      <w:shd w:val="clear" w:color="auto" w:fill="000080"/>
    </w:pPr>
  </w:style>
  <w:style w:type="paragraph" w:styleId="3">
    <w:name w:val="Balloon Text"/>
    <w:basedOn w:val="1"/>
    <w:link w:val="10"/>
    <w:semiHidden/>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uiPriority w:val="99"/>
    <w:pPr>
      <w:pBdr>
        <w:bottom w:val="single" w:color="auto" w:sz="6" w:space="1"/>
      </w:pBdr>
      <w:tabs>
        <w:tab w:val="center" w:pos="4153"/>
        <w:tab w:val="right" w:pos="8306"/>
      </w:tabs>
      <w:snapToGrid w:val="0"/>
      <w:jc w:val="center"/>
    </w:pPr>
    <w:rPr>
      <w:sz w:val="18"/>
      <w:szCs w:val="18"/>
    </w:rPr>
  </w:style>
  <w:style w:type="character" w:styleId="8">
    <w:name w:val="page number"/>
    <w:qFormat/>
    <w:uiPriority w:val="99"/>
    <w:rPr>
      <w:rFonts w:cs="Times New Roman"/>
    </w:rPr>
  </w:style>
  <w:style w:type="character" w:customStyle="1" w:styleId="9">
    <w:name w:val="文档结构图 Char"/>
    <w:link w:val="2"/>
    <w:semiHidden/>
    <w:qFormat/>
    <w:locked/>
    <w:uiPriority w:val="99"/>
    <w:rPr>
      <w:rFonts w:eastAsia="宋体" w:cs="Times New Roman"/>
      <w:sz w:val="2"/>
    </w:rPr>
  </w:style>
  <w:style w:type="character" w:customStyle="1" w:styleId="10">
    <w:name w:val="批注框文本 Char"/>
    <w:link w:val="3"/>
    <w:semiHidden/>
    <w:qFormat/>
    <w:locked/>
    <w:uiPriority w:val="99"/>
    <w:rPr>
      <w:rFonts w:eastAsia="宋体" w:cs="Times New Roman"/>
      <w:sz w:val="2"/>
    </w:rPr>
  </w:style>
  <w:style w:type="character" w:customStyle="1" w:styleId="11">
    <w:name w:val="页脚 Char"/>
    <w:link w:val="4"/>
    <w:semiHidden/>
    <w:qFormat/>
    <w:locked/>
    <w:uiPriority w:val="99"/>
    <w:rPr>
      <w:rFonts w:eastAsia="宋体" w:cs="Times New Roman"/>
      <w:sz w:val="18"/>
      <w:szCs w:val="18"/>
    </w:rPr>
  </w:style>
  <w:style w:type="character" w:customStyle="1" w:styleId="12">
    <w:name w:val="页眉 Char"/>
    <w:link w:val="5"/>
    <w:semiHidden/>
    <w:locked/>
    <w:uiPriority w:val="99"/>
    <w:rPr>
      <w:rFonts w:eastAsia="宋体" w:cs="Times New Roman"/>
      <w:sz w:val="18"/>
      <w:szCs w:val="18"/>
    </w:rPr>
  </w:style>
  <w:style w:type="paragraph" w:customStyle="1" w:styleId="13">
    <w:name w:val="Char Char Char"/>
    <w:basedOn w:val="2"/>
    <w:qFormat/>
    <w:uiPriority w:val="99"/>
    <w:pPr>
      <w:adjustRightInd w:val="0"/>
      <w:spacing w:line="436" w:lineRule="exact"/>
      <w:ind w:left="357"/>
      <w:jc w:val="left"/>
      <w:outlineLvl w:val="3"/>
    </w:pPr>
    <w:rPr>
      <w:rFonts w:ascii="Tahoma" w:hAnsi="Tahoma"/>
      <w:b/>
      <w:sz w:val="44"/>
    </w:rPr>
  </w:style>
  <w:style w:type="paragraph" w:customStyle="1" w:styleId="14">
    <w:name w:val="Char1"/>
    <w:basedOn w:val="1"/>
    <w:uiPriority w:val="99"/>
    <w:pPr>
      <w:spacing w:line="360" w:lineRule="auto"/>
      <w:ind w:firstLine="200" w:firstLineChars="200"/>
    </w:pPr>
    <w:rPr>
      <w:rFonts w:ascii="宋体" w:cs="宋体"/>
      <w:sz w:val="24"/>
    </w:rPr>
  </w:style>
  <w:style w:type="paragraph" w:customStyle="1" w:styleId="15">
    <w:name w:val="1 Char"/>
    <w:basedOn w:val="1"/>
    <w:qFormat/>
    <w:uiPriority w:val="99"/>
    <w:rPr>
      <w:sz w:val="24"/>
    </w:rPr>
  </w:style>
  <w:style w:type="paragraph" w:customStyle="1" w:styleId="16">
    <w:name w:val="正文小四"/>
    <w:qFormat/>
    <w:uiPriority w:val="99"/>
    <w:pPr>
      <w:ind w:firstLine="150" w:firstLineChars="150"/>
    </w:pPr>
    <w:rPr>
      <w:rFonts w:ascii="宋体" w:hAnsi="Times New Roman" w:eastAsia="宋体" w:cs="Times New Roman"/>
      <w:kern w:val="2"/>
      <w:sz w:val="24"/>
      <w:szCs w:val="24"/>
      <w:lang w:val="en-US" w:eastAsia="zh-CN" w:bidi="ar-SA"/>
    </w:rPr>
  </w:style>
  <w:style w:type="paragraph" w:customStyle="1" w:styleId="17">
    <w:name w:val="永环书正文"/>
    <w:basedOn w:val="1"/>
    <w:qFormat/>
    <w:uiPriority w:val="99"/>
    <w:pPr>
      <w:spacing w:beforeLines="20" w:afterLines="20" w:line="360" w:lineRule="auto"/>
      <w:ind w:firstLine="200" w:firstLineChars="200"/>
    </w:pPr>
    <w:rPr>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336</Words>
  <Characters>1918</Characters>
  <Lines>15</Lines>
  <Paragraphs>4</Paragraphs>
  <TotalTime>92</TotalTime>
  <ScaleCrop>false</ScaleCrop>
  <LinksUpToDate>false</LinksUpToDate>
  <CharactersWithSpaces>2250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2018-05-08T02:24:00Z</dcterms:created>
  <dc:creator>微软用户</dc:creator>
  <cp:lastModifiedBy>Administrator</cp:lastModifiedBy>
  <cp:lastPrinted>2018-12-04T09:08:00Z</cp:lastPrinted>
  <dcterms:modified xsi:type="dcterms:W3CDTF">2020-07-27T01:50:04Z</dcterms:modified>
  <dc:title>永环评[2012] 号</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